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47E4D" w14:textId="77777777" w:rsidR="0013027B" w:rsidRPr="0013027B" w:rsidRDefault="0013027B" w:rsidP="0013027B">
      <w:pPr>
        <w:jc w:val="both"/>
        <w:rPr>
          <w:rFonts w:ascii="Arial" w:hAnsi="Arial" w:cs="Arial"/>
          <w:b/>
          <w:bCs/>
          <w:color w:val="000000"/>
        </w:rPr>
      </w:pPr>
    </w:p>
    <w:p w14:paraId="76C8FEA5" w14:textId="1BC7D0BD" w:rsidR="005F4375" w:rsidRPr="00533E56" w:rsidRDefault="00C44CEA" w:rsidP="00783185">
      <w:pPr>
        <w:jc w:val="center"/>
        <w:rPr>
          <w:rFonts w:ascii="Arial" w:hAnsi="Arial" w:cs="Arial"/>
          <w:b/>
          <w:bCs/>
          <w:color w:val="000000"/>
        </w:rPr>
      </w:pPr>
      <w:r w:rsidRPr="00533E56">
        <w:rPr>
          <w:rFonts w:ascii="Arial" w:hAnsi="Arial" w:cs="Arial"/>
          <w:b/>
          <w:bCs/>
          <w:color w:val="000000"/>
        </w:rPr>
        <w:t>Strong</w:t>
      </w:r>
      <w:r w:rsidR="002751D3" w:rsidRPr="00533E56">
        <w:rPr>
          <w:rFonts w:ascii="Arial" w:hAnsi="Arial" w:cs="Arial"/>
          <w:b/>
          <w:bCs/>
          <w:color w:val="000000"/>
        </w:rPr>
        <w:t xml:space="preserve"> Proof-of-Concept </w:t>
      </w:r>
      <w:r w:rsidR="00534631" w:rsidRPr="00533E56">
        <w:rPr>
          <w:rFonts w:ascii="Arial" w:hAnsi="Arial" w:cs="Arial"/>
          <w:b/>
          <w:bCs/>
          <w:color w:val="000000"/>
        </w:rPr>
        <w:t xml:space="preserve">Data </w:t>
      </w:r>
      <w:r w:rsidR="002751D3" w:rsidRPr="00533E56">
        <w:rPr>
          <w:rFonts w:ascii="Arial" w:hAnsi="Arial" w:cs="Arial"/>
          <w:b/>
          <w:bCs/>
          <w:color w:val="000000"/>
        </w:rPr>
        <w:t xml:space="preserve">from Phase 2 </w:t>
      </w:r>
      <w:r w:rsidR="00F86CCB" w:rsidRPr="00533E56">
        <w:rPr>
          <w:rFonts w:ascii="Arial" w:hAnsi="Arial" w:cs="Arial"/>
          <w:b/>
          <w:bCs/>
          <w:color w:val="000000"/>
        </w:rPr>
        <w:t xml:space="preserve">Trial of </w:t>
      </w:r>
      <w:r w:rsidR="00534631" w:rsidRPr="00533E56">
        <w:rPr>
          <w:rFonts w:ascii="Arial" w:hAnsi="Arial" w:cs="Arial"/>
          <w:b/>
          <w:bCs/>
          <w:color w:val="000000"/>
        </w:rPr>
        <w:t xml:space="preserve">PDE10A </w:t>
      </w:r>
      <w:r w:rsidR="00783185" w:rsidRPr="00533E56">
        <w:rPr>
          <w:rFonts w:ascii="Arial" w:hAnsi="Arial" w:cs="Arial"/>
          <w:b/>
          <w:bCs/>
          <w:color w:val="000000"/>
        </w:rPr>
        <w:t xml:space="preserve">Inhibitor </w:t>
      </w:r>
      <w:r w:rsidR="00534631" w:rsidRPr="00533E56">
        <w:rPr>
          <w:rFonts w:ascii="Arial" w:hAnsi="Arial" w:cs="Arial"/>
          <w:b/>
          <w:bCs/>
          <w:color w:val="000000"/>
        </w:rPr>
        <w:t>(CPL’36)</w:t>
      </w:r>
      <w:r w:rsidR="00450280" w:rsidRPr="00533E56">
        <w:rPr>
          <w:rFonts w:ascii="Arial" w:hAnsi="Arial" w:cs="Arial"/>
          <w:b/>
          <w:bCs/>
          <w:color w:val="000000"/>
        </w:rPr>
        <w:t>, a Novel Oral Antipsychotic</w:t>
      </w:r>
    </w:p>
    <w:p w14:paraId="1971DE46" w14:textId="77777777" w:rsidR="00E63AB3" w:rsidRPr="00533E56" w:rsidRDefault="00E63AB3" w:rsidP="00783185">
      <w:pPr>
        <w:jc w:val="center"/>
        <w:rPr>
          <w:rFonts w:ascii="Arial" w:hAnsi="Arial" w:cs="Arial"/>
          <w:b/>
          <w:bCs/>
          <w:color w:val="000000"/>
        </w:rPr>
      </w:pPr>
    </w:p>
    <w:p w14:paraId="13E3731B" w14:textId="2DE0B8D5" w:rsidR="00E63AB3" w:rsidRPr="00533E56" w:rsidRDefault="00AF61EC" w:rsidP="0013027B">
      <w:pPr>
        <w:jc w:val="both"/>
        <w:rPr>
          <w:rFonts w:ascii="Arial" w:hAnsi="Arial" w:cs="Arial"/>
          <w:i/>
          <w:iCs/>
          <w:color w:val="000000"/>
        </w:rPr>
      </w:pPr>
      <w:r w:rsidRPr="00533E56">
        <w:rPr>
          <w:rFonts w:ascii="Arial" w:hAnsi="Arial" w:cs="Arial"/>
          <w:i/>
          <w:iCs/>
          <w:color w:val="000000"/>
        </w:rPr>
        <w:t>-</w:t>
      </w:r>
      <w:r w:rsidR="00E63AB3" w:rsidRPr="00533E56">
        <w:rPr>
          <w:rFonts w:ascii="Arial" w:hAnsi="Arial" w:cs="Arial"/>
          <w:i/>
          <w:iCs/>
          <w:color w:val="000000"/>
        </w:rPr>
        <w:t>Statistically significant benefit demonstrated in primary endpoint of</w:t>
      </w:r>
      <w:r w:rsidR="00F86CCB" w:rsidRPr="00533E56">
        <w:rPr>
          <w:rFonts w:ascii="Arial" w:hAnsi="Arial" w:cs="Arial"/>
          <w:i/>
          <w:iCs/>
          <w:color w:val="000000"/>
        </w:rPr>
        <w:t xml:space="preserve"> </w:t>
      </w:r>
      <w:r w:rsidR="00903BCA" w:rsidRPr="00533E56">
        <w:rPr>
          <w:rFonts w:ascii="Arial" w:hAnsi="Arial" w:cs="Arial"/>
          <w:i/>
          <w:iCs/>
          <w:color w:val="000000"/>
        </w:rPr>
        <w:t xml:space="preserve">positive subscale of the </w:t>
      </w:r>
      <w:r w:rsidRPr="00533E56">
        <w:rPr>
          <w:rFonts w:ascii="Arial" w:hAnsi="Arial" w:cs="Arial"/>
          <w:i/>
          <w:iCs/>
          <w:color w:val="000000"/>
        </w:rPr>
        <w:t>Positive and Negative Syndrome Scale for Schizophrenia (PANSS)</w:t>
      </w:r>
      <w:r w:rsidR="00733085" w:rsidRPr="00533E56">
        <w:rPr>
          <w:rFonts w:ascii="Arial" w:hAnsi="Arial" w:cs="Arial"/>
          <w:i/>
          <w:iCs/>
          <w:color w:val="000000"/>
        </w:rPr>
        <w:t xml:space="preserve"> </w:t>
      </w:r>
      <w:r w:rsidR="00903BCA" w:rsidRPr="00533E56">
        <w:rPr>
          <w:rFonts w:ascii="Arial" w:hAnsi="Arial" w:cs="Arial"/>
          <w:i/>
          <w:iCs/>
          <w:color w:val="000000"/>
        </w:rPr>
        <w:t>at Week 4</w:t>
      </w:r>
      <w:r w:rsidRPr="00533E56">
        <w:rPr>
          <w:rFonts w:ascii="Arial" w:hAnsi="Arial" w:cs="Arial"/>
          <w:i/>
          <w:iCs/>
          <w:color w:val="000000"/>
        </w:rPr>
        <w:t>-</w:t>
      </w:r>
    </w:p>
    <w:p w14:paraId="4DFBFF68" w14:textId="77777777" w:rsidR="00BE306C" w:rsidRPr="00533E56" w:rsidRDefault="00BE306C" w:rsidP="0013027B">
      <w:pPr>
        <w:jc w:val="both"/>
        <w:rPr>
          <w:rFonts w:ascii="Arial" w:hAnsi="Arial" w:cs="Arial"/>
          <w:i/>
          <w:iCs/>
          <w:color w:val="000000"/>
        </w:rPr>
      </w:pPr>
    </w:p>
    <w:p w14:paraId="3797C6D3" w14:textId="21D6260D" w:rsidR="00BE306C" w:rsidRPr="00533E56" w:rsidRDefault="00BE306C" w:rsidP="0013027B">
      <w:pPr>
        <w:jc w:val="both"/>
        <w:rPr>
          <w:rFonts w:ascii="Arial" w:hAnsi="Arial" w:cs="Arial"/>
          <w:i/>
          <w:iCs/>
          <w:color w:val="000000"/>
        </w:rPr>
      </w:pPr>
      <w:r w:rsidRPr="00533E56">
        <w:rPr>
          <w:rFonts w:ascii="Arial" w:hAnsi="Arial" w:cs="Arial"/>
          <w:i/>
          <w:iCs/>
          <w:color w:val="000000"/>
        </w:rPr>
        <w:t>-</w:t>
      </w:r>
      <w:r w:rsidR="00B60687" w:rsidRPr="00533E56">
        <w:rPr>
          <w:rFonts w:ascii="Arial" w:hAnsi="Arial" w:cs="Arial"/>
          <w:i/>
          <w:iCs/>
          <w:color w:val="000000"/>
        </w:rPr>
        <w:t xml:space="preserve">Dose-response </w:t>
      </w:r>
      <w:r w:rsidR="009345B1" w:rsidRPr="00533E56">
        <w:rPr>
          <w:rFonts w:ascii="Arial" w:hAnsi="Arial" w:cs="Arial"/>
          <w:i/>
          <w:iCs/>
          <w:color w:val="000000"/>
        </w:rPr>
        <w:t xml:space="preserve">was demonstrated, </w:t>
      </w:r>
      <w:r w:rsidR="00B60687" w:rsidRPr="00533E56">
        <w:rPr>
          <w:rFonts w:ascii="Arial" w:hAnsi="Arial" w:cs="Arial"/>
          <w:i/>
          <w:iCs/>
          <w:color w:val="000000"/>
        </w:rPr>
        <w:t xml:space="preserve">consistent with higher efficacy </w:t>
      </w:r>
      <w:r w:rsidR="009345B1" w:rsidRPr="00533E56">
        <w:rPr>
          <w:rFonts w:ascii="Arial" w:hAnsi="Arial" w:cs="Arial"/>
          <w:i/>
          <w:iCs/>
          <w:color w:val="000000"/>
        </w:rPr>
        <w:t>in</w:t>
      </w:r>
      <w:r w:rsidR="00B60687" w:rsidRPr="00533E56">
        <w:rPr>
          <w:rFonts w:ascii="Arial" w:hAnsi="Arial" w:cs="Arial"/>
          <w:i/>
          <w:iCs/>
          <w:color w:val="000000"/>
        </w:rPr>
        <w:t xml:space="preserve"> the 40 mg dose-</w:t>
      </w:r>
    </w:p>
    <w:p w14:paraId="695FEAB4" w14:textId="77777777" w:rsidR="00596E3A" w:rsidRPr="00533E56" w:rsidRDefault="00596E3A" w:rsidP="0013027B">
      <w:pPr>
        <w:jc w:val="both"/>
        <w:rPr>
          <w:rFonts w:ascii="Arial" w:hAnsi="Arial" w:cs="Arial"/>
          <w:i/>
          <w:iCs/>
          <w:color w:val="000000"/>
        </w:rPr>
      </w:pPr>
    </w:p>
    <w:p w14:paraId="09680221" w14:textId="3BCA11F2" w:rsidR="00596E3A" w:rsidRPr="00533E56" w:rsidRDefault="00596E3A" w:rsidP="0013027B">
      <w:pPr>
        <w:jc w:val="both"/>
        <w:rPr>
          <w:rFonts w:ascii="Arial" w:hAnsi="Arial" w:cs="Arial"/>
          <w:i/>
          <w:iCs/>
          <w:color w:val="000000"/>
        </w:rPr>
      </w:pPr>
      <w:r w:rsidRPr="00533E56">
        <w:rPr>
          <w:rFonts w:ascii="Arial" w:hAnsi="Arial" w:cs="Arial"/>
          <w:i/>
          <w:iCs/>
          <w:color w:val="000000"/>
        </w:rPr>
        <w:t>-Favorable tolerability profile</w:t>
      </w:r>
      <w:r w:rsidR="006B1734" w:rsidRPr="00533E56">
        <w:rPr>
          <w:rFonts w:ascii="Arial" w:hAnsi="Arial" w:cs="Arial"/>
          <w:i/>
          <w:iCs/>
          <w:color w:val="000000"/>
        </w:rPr>
        <w:t xml:space="preserve"> demonstrated</w:t>
      </w:r>
      <w:r w:rsidRPr="00533E56">
        <w:rPr>
          <w:rFonts w:ascii="Arial" w:hAnsi="Arial" w:cs="Arial"/>
          <w:i/>
          <w:iCs/>
          <w:color w:val="000000"/>
        </w:rPr>
        <w:t xml:space="preserve"> </w:t>
      </w:r>
      <w:r w:rsidR="00B11895" w:rsidRPr="00533E56">
        <w:rPr>
          <w:rFonts w:ascii="Arial" w:hAnsi="Arial" w:cs="Arial"/>
          <w:i/>
          <w:iCs/>
          <w:color w:val="000000"/>
        </w:rPr>
        <w:t>relative to standard-of-care atypical antipsychotics-</w:t>
      </w:r>
    </w:p>
    <w:p w14:paraId="6CE6EEA8" w14:textId="77777777" w:rsidR="005520F7" w:rsidRPr="00533E56" w:rsidRDefault="005520F7" w:rsidP="0013027B">
      <w:pPr>
        <w:jc w:val="both"/>
        <w:rPr>
          <w:rFonts w:ascii="Arial" w:hAnsi="Arial" w:cs="Arial"/>
          <w:i/>
          <w:iCs/>
          <w:color w:val="000000"/>
        </w:rPr>
      </w:pPr>
    </w:p>
    <w:p w14:paraId="33D144BC" w14:textId="7C3EC789" w:rsidR="005520F7" w:rsidRDefault="005520F7" w:rsidP="0013027B">
      <w:pPr>
        <w:jc w:val="both"/>
        <w:rPr>
          <w:rFonts w:ascii="Arial" w:hAnsi="Arial" w:cs="Arial"/>
          <w:i/>
          <w:iCs/>
          <w:color w:val="000000"/>
        </w:rPr>
      </w:pPr>
      <w:r w:rsidRPr="00533E56">
        <w:rPr>
          <w:rFonts w:ascii="Arial" w:hAnsi="Arial" w:cs="Arial"/>
          <w:i/>
          <w:iCs/>
          <w:color w:val="000000"/>
        </w:rPr>
        <w:t>-Investor call to be held at (</w:t>
      </w:r>
      <w:r w:rsidR="00533E56">
        <w:rPr>
          <w:rFonts w:ascii="Arial" w:hAnsi="Arial" w:cs="Arial"/>
          <w:i/>
          <w:iCs/>
          <w:color w:val="000000"/>
        </w:rPr>
        <w:t>10</w:t>
      </w:r>
      <w:r w:rsidR="00533E56" w:rsidRPr="00533E56">
        <w:rPr>
          <w:rFonts w:ascii="Arial" w:hAnsi="Arial" w:cs="Arial"/>
          <w:i/>
          <w:iCs/>
          <w:color w:val="000000"/>
          <w:vertAlign w:val="superscript"/>
        </w:rPr>
        <w:t>th</w:t>
      </w:r>
      <w:r w:rsidR="00533E56">
        <w:rPr>
          <w:rFonts w:ascii="Arial" w:hAnsi="Arial" w:cs="Arial"/>
          <w:i/>
          <w:iCs/>
          <w:color w:val="000000"/>
        </w:rPr>
        <w:t xml:space="preserve"> of July</w:t>
      </w:r>
      <w:r w:rsidRPr="00533E56">
        <w:rPr>
          <w:rFonts w:ascii="Arial" w:hAnsi="Arial" w:cs="Arial"/>
          <w:i/>
          <w:iCs/>
          <w:color w:val="000000"/>
        </w:rPr>
        <w:t xml:space="preserve"> </w:t>
      </w:r>
      <w:r w:rsidR="00533E56">
        <w:rPr>
          <w:rFonts w:ascii="Arial" w:hAnsi="Arial" w:cs="Arial"/>
          <w:i/>
          <w:iCs/>
          <w:color w:val="000000"/>
        </w:rPr>
        <w:t>3 PM CEST</w:t>
      </w:r>
      <w:r w:rsidRPr="00533E56">
        <w:rPr>
          <w:rFonts w:ascii="Arial" w:hAnsi="Arial" w:cs="Arial"/>
          <w:i/>
          <w:iCs/>
          <w:color w:val="000000"/>
        </w:rPr>
        <w:t>) with details provided below</w:t>
      </w:r>
      <w:r w:rsidR="00BB5E6C">
        <w:rPr>
          <w:rFonts w:ascii="Arial" w:hAnsi="Arial" w:cs="Arial"/>
          <w:i/>
          <w:iCs/>
          <w:color w:val="000000"/>
        </w:rPr>
        <w:t>:</w:t>
      </w:r>
    </w:p>
    <w:p w14:paraId="1BA4C11A" w14:textId="77777777" w:rsidR="00BB5E6C" w:rsidRPr="00E57571" w:rsidRDefault="00BB5E6C" w:rsidP="00D30AA0">
      <w:pPr>
        <w:rPr>
          <w:rFonts w:ascii="Arial" w:hAnsi="Arial" w:cs="Arial"/>
          <w:i/>
          <w:iCs/>
          <w:color w:val="000000"/>
          <w:sz w:val="20"/>
          <w:szCs w:val="20"/>
        </w:rPr>
      </w:pPr>
    </w:p>
    <w:p w14:paraId="4CED8B3E" w14:textId="29360DC3" w:rsidR="00BB5E6C" w:rsidRPr="00E57571" w:rsidRDefault="00D30AA0" w:rsidP="00915BAD">
      <w:pPr>
        <w:pStyle w:val="Akapitzlist"/>
        <w:numPr>
          <w:ilvl w:val="0"/>
          <w:numId w:val="2"/>
        </w:numPr>
        <w:rPr>
          <w:rFonts w:ascii="Arial" w:hAnsi="Arial" w:cs="Arial"/>
          <w:i/>
          <w:iCs/>
          <w:color w:val="000000"/>
          <w:sz w:val="20"/>
          <w:szCs w:val="20"/>
        </w:rPr>
      </w:pPr>
      <w:r w:rsidRPr="00E57571">
        <w:rPr>
          <w:rFonts w:ascii="Arial" w:hAnsi="Arial" w:cs="Arial"/>
          <w:i/>
          <w:iCs/>
          <w:color w:val="000000"/>
          <w:sz w:val="20"/>
          <w:szCs w:val="20"/>
        </w:rPr>
        <w:t xml:space="preserve">MS Teams: </w:t>
      </w:r>
      <w:hyperlink r:id="rId5" w:history="1">
        <w:r w:rsidRPr="00E57571">
          <w:rPr>
            <w:rStyle w:val="Hipercze"/>
            <w:rFonts w:ascii="Arial" w:hAnsi="Arial" w:cs="Arial"/>
            <w:i/>
            <w:iCs/>
            <w:sz w:val="20"/>
            <w:szCs w:val="20"/>
          </w:rPr>
          <w:t>https://teams.microsoft.com/l/meetup-join/19%3ameeting_NTA4ZDg0NzEtYjU2ZS00N2NjLWI4MjAtYzAwMzQxMDBhNDlj%40thread.v2/0?context=%7b%22Tid%22%3a%22dc816c94-0313-4f34-8ed1-1bff167d7003%22%2c%22Oid%22%3a%22640e4061-4b30-4b4f-ab73-ea6aee635b80%22%7d</w:t>
        </w:r>
      </w:hyperlink>
      <w:r w:rsidR="00BB5E6C" w:rsidRPr="00E57571">
        <w:rPr>
          <w:rFonts w:ascii="Arial" w:hAnsi="Arial" w:cs="Arial"/>
          <w:i/>
          <w:iCs/>
          <w:color w:val="000000"/>
          <w:sz w:val="20"/>
          <w:szCs w:val="20"/>
        </w:rPr>
        <w:t xml:space="preserve"> </w:t>
      </w:r>
    </w:p>
    <w:p w14:paraId="3DE4C1CB" w14:textId="77777777" w:rsidR="00BB5E6C" w:rsidRPr="00E57571" w:rsidRDefault="00BB5E6C" w:rsidP="0013027B">
      <w:pPr>
        <w:jc w:val="both"/>
        <w:rPr>
          <w:rFonts w:ascii="Arial" w:hAnsi="Arial" w:cs="Arial"/>
          <w:i/>
          <w:iCs/>
          <w:color w:val="000000"/>
          <w:sz w:val="20"/>
          <w:szCs w:val="20"/>
        </w:rPr>
      </w:pPr>
    </w:p>
    <w:p w14:paraId="5F54901F" w14:textId="69FD1BA6" w:rsidR="00BB5E6C" w:rsidRPr="00E57571" w:rsidRDefault="00D30AA0" w:rsidP="00915BAD">
      <w:pPr>
        <w:pStyle w:val="Akapitzlist"/>
        <w:numPr>
          <w:ilvl w:val="0"/>
          <w:numId w:val="2"/>
        </w:numPr>
        <w:jc w:val="both"/>
        <w:rPr>
          <w:rFonts w:ascii="Arial" w:hAnsi="Arial" w:cs="Arial"/>
          <w:i/>
          <w:iCs/>
          <w:color w:val="000000"/>
          <w:sz w:val="20"/>
          <w:szCs w:val="20"/>
        </w:rPr>
      </w:pPr>
      <w:r w:rsidRPr="00E57571">
        <w:rPr>
          <w:rFonts w:ascii="Arial" w:hAnsi="Arial" w:cs="Arial"/>
          <w:i/>
          <w:iCs/>
          <w:color w:val="000000"/>
          <w:sz w:val="20"/>
          <w:szCs w:val="20"/>
        </w:rPr>
        <w:t>Tele</w:t>
      </w:r>
      <w:r w:rsidR="00915BAD" w:rsidRPr="00E57571">
        <w:rPr>
          <w:rFonts w:ascii="Arial" w:hAnsi="Arial" w:cs="Arial"/>
          <w:i/>
          <w:iCs/>
          <w:color w:val="000000"/>
          <w:sz w:val="20"/>
          <w:szCs w:val="20"/>
        </w:rPr>
        <w:t>p</w:t>
      </w:r>
      <w:r w:rsidRPr="00E57571">
        <w:rPr>
          <w:rFonts w:ascii="Arial" w:hAnsi="Arial" w:cs="Arial"/>
          <w:i/>
          <w:iCs/>
          <w:color w:val="000000"/>
          <w:sz w:val="20"/>
          <w:szCs w:val="20"/>
        </w:rPr>
        <w:t xml:space="preserve">hone: </w:t>
      </w:r>
      <w:r w:rsidR="00227F3C" w:rsidRPr="00E57571">
        <w:rPr>
          <w:rFonts w:ascii="Arial" w:hAnsi="Arial" w:cs="Arial"/>
          <w:i/>
          <w:iCs/>
          <w:color w:val="000000"/>
          <w:sz w:val="20"/>
          <w:szCs w:val="20"/>
        </w:rPr>
        <w:t>+48 22 161 67 63</w:t>
      </w:r>
      <w:r w:rsidR="00227F3C" w:rsidRPr="00E57571">
        <w:rPr>
          <w:rFonts w:ascii="Arial" w:hAnsi="Arial" w:cs="Arial"/>
          <w:i/>
          <w:iCs/>
          <w:color w:val="000000"/>
          <w:sz w:val="20"/>
          <w:szCs w:val="20"/>
        </w:rPr>
        <w:t>,</w:t>
      </w:r>
      <w:r w:rsidR="00227F3C" w:rsidRPr="00E57571">
        <w:rPr>
          <w:rFonts w:ascii="Arial" w:hAnsi="Arial" w:cs="Arial"/>
          <w:i/>
          <w:iCs/>
          <w:color w:val="000000"/>
          <w:sz w:val="20"/>
          <w:szCs w:val="20"/>
        </w:rPr>
        <w:t>,522919119# Poland, Warsaw</w:t>
      </w:r>
      <w:r w:rsidR="00915BAD" w:rsidRPr="00E57571">
        <w:rPr>
          <w:rFonts w:ascii="Arial" w:hAnsi="Arial" w:cs="Arial"/>
          <w:i/>
          <w:iCs/>
          <w:color w:val="000000"/>
          <w:sz w:val="20"/>
          <w:szCs w:val="20"/>
        </w:rPr>
        <w:t xml:space="preserve">. </w:t>
      </w:r>
      <w:r w:rsidR="00915BAD" w:rsidRPr="00E57571">
        <w:rPr>
          <w:rStyle w:val="me-email-text"/>
          <w:rFonts w:ascii="Arial" w:hAnsi="Arial" w:cs="Arial"/>
          <w:i/>
          <w:iCs/>
          <w:color w:val="242424"/>
          <w:sz w:val="20"/>
          <w:szCs w:val="20"/>
        </w:rPr>
        <w:t>522 919</w:t>
      </w:r>
      <w:r w:rsidR="00915BAD" w:rsidRPr="00E57571">
        <w:rPr>
          <w:rStyle w:val="me-email-text"/>
          <w:rFonts w:ascii="Arial" w:hAnsi="Arial" w:cs="Arial"/>
          <w:i/>
          <w:iCs/>
          <w:color w:val="242424"/>
          <w:sz w:val="20"/>
          <w:szCs w:val="20"/>
        </w:rPr>
        <w:t> </w:t>
      </w:r>
      <w:r w:rsidR="00915BAD" w:rsidRPr="00E57571">
        <w:rPr>
          <w:rStyle w:val="me-email-text"/>
          <w:rFonts w:ascii="Arial" w:hAnsi="Arial" w:cs="Arial"/>
          <w:i/>
          <w:iCs/>
          <w:color w:val="242424"/>
          <w:sz w:val="20"/>
          <w:szCs w:val="20"/>
        </w:rPr>
        <w:t>119#</w:t>
      </w:r>
    </w:p>
    <w:p w14:paraId="0FAD1435" w14:textId="77777777" w:rsidR="00A96CF5" w:rsidRPr="00533E56" w:rsidRDefault="00A96CF5" w:rsidP="0013027B">
      <w:pPr>
        <w:jc w:val="both"/>
        <w:rPr>
          <w:rFonts w:ascii="Arial" w:hAnsi="Arial" w:cs="Arial"/>
          <w:b/>
          <w:bCs/>
          <w:color w:val="000000"/>
        </w:rPr>
      </w:pPr>
    </w:p>
    <w:p w14:paraId="0ADFBD49" w14:textId="56D54302" w:rsidR="00A96CF5" w:rsidRPr="00533E56" w:rsidRDefault="00D618BE" w:rsidP="006C2D78">
      <w:pPr>
        <w:jc w:val="both"/>
        <w:rPr>
          <w:rFonts w:ascii="Arial" w:hAnsi="Arial" w:cs="Arial"/>
          <w:color w:val="000000" w:themeColor="text1"/>
        </w:rPr>
      </w:pPr>
      <w:r w:rsidRPr="00533E56">
        <w:rPr>
          <w:rFonts w:ascii="Arial" w:hAnsi="Arial" w:cs="Arial"/>
          <w:color w:val="000000"/>
        </w:rPr>
        <w:t xml:space="preserve">Celon Pharma S.A. (CLN.WA) </w:t>
      </w:r>
      <w:r w:rsidR="000B7656" w:rsidRPr="00533E56">
        <w:rPr>
          <w:rFonts w:ascii="Arial" w:hAnsi="Arial" w:cs="Arial"/>
          <w:color w:val="000000"/>
        </w:rPr>
        <w:t xml:space="preserve">announces today </w:t>
      </w:r>
      <w:r w:rsidR="00EC4157" w:rsidRPr="00533E56">
        <w:rPr>
          <w:rFonts w:ascii="Arial" w:hAnsi="Arial" w:cs="Arial"/>
          <w:color w:val="000000" w:themeColor="text1"/>
        </w:rPr>
        <w:t xml:space="preserve">robust and positive Phase 2 </w:t>
      </w:r>
      <w:r w:rsidR="00397D7D" w:rsidRPr="00533E56">
        <w:rPr>
          <w:rFonts w:ascii="Arial" w:hAnsi="Arial" w:cs="Arial"/>
          <w:color w:val="000000" w:themeColor="text1"/>
        </w:rPr>
        <w:t xml:space="preserve">clinical trial </w:t>
      </w:r>
      <w:r w:rsidR="00EC4157" w:rsidRPr="00533E56">
        <w:rPr>
          <w:rFonts w:ascii="Arial" w:hAnsi="Arial" w:cs="Arial"/>
          <w:color w:val="000000" w:themeColor="text1"/>
        </w:rPr>
        <w:t xml:space="preserve">results </w:t>
      </w:r>
      <w:r w:rsidR="00397D7D" w:rsidRPr="00533E56">
        <w:rPr>
          <w:rFonts w:ascii="Arial" w:hAnsi="Arial" w:cs="Arial"/>
          <w:color w:val="000000" w:themeColor="text1"/>
        </w:rPr>
        <w:t>for its</w:t>
      </w:r>
      <w:r w:rsidR="00A96CF5" w:rsidRPr="00533E56">
        <w:rPr>
          <w:rFonts w:ascii="Arial" w:hAnsi="Arial" w:cs="Arial"/>
          <w:color w:val="000000" w:themeColor="text1"/>
        </w:rPr>
        <w:t xml:space="preserve"> PDE10A inhibitor </w:t>
      </w:r>
      <w:r w:rsidR="00397D7D" w:rsidRPr="00533E56">
        <w:rPr>
          <w:rFonts w:ascii="Arial" w:hAnsi="Arial" w:cs="Arial"/>
          <w:color w:val="000000" w:themeColor="text1"/>
        </w:rPr>
        <w:t>(CPL’36)</w:t>
      </w:r>
      <w:r w:rsidR="0018505F" w:rsidRPr="00533E56">
        <w:rPr>
          <w:rFonts w:ascii="Arial" w:hAnsi="Arial" w:cs="Arial"/>
          <w:color w:val="000000" w:themeColor="text1"/>
        </w:rPr>
        <w:t xml:space="preserve">, a novel, </w:t>
      </w:r>
      <w:r w:rsidR="00A3051B" w:rsidRPr="00533E56">
        <w:rPr>
          <w:rFonts w:ascii="Arial" w:hAnsi="Arial" w:cs="Arial"/>
          <w:color w:val="000000" w:themeColor="text1"/>
        </w:rPr>
        <w:t>oral, once-daily antipsychotic</w:t>
      </w:r>
      <w:r w:rsidR="005B4829" w:rsidRPr="00533E56">
        <w:rPr>
          <w:rFonts w:ascii="Arial" w:hAnsi="Arial" w:cs="Arial"/>
          <w:color w:val="000000" w:themeColor="text1"/>
        </w:rPr>
        <w:t xml:space="preserve">. </w:t>
      </w:r>
      <w:r w:rsidR="00A3051B" w:rsidRPr="00533E56">
        <w:rPr>
          <w:rFonts w:ascii="Arial" w:hAnsi="Arial" w:cs="Arial"/>
          <w:color w:val="000000" w:themeColor="text1"/>
        </w:rPr>
        <w:t xml:space="preserve"> </w:t>
      </w:r>
      <w:r w:rsidR="00270EEB" w:rsidRPr="00533E56">
        <w:rPr>
          <w:rFonts w:ascii="Arial" w:hAnsi="Arial" w:cs="Arial"/>
          <w:color w:val="000000" w:themeColor="text1"/>
        </w:rPr>
        <w:t xml:space="preserve">Statistically significant </w:t>
      </w:r>
      <w:r w:rsidR="00DF58E6" w:rsidRPr="00533E56">
        <w:rPr>
          <w:rFonts w:ascii="Arial" w:hAnsi="Arial" w:cs="Arial"/>
          <w:color w:val="000000" w:themeColor="text1"/>
        </w:rPr>
        <w:t xml:space="preserve">and clinically meaningful </w:t>
      </w:r>
      <w:r w:rsidR="00423C0A" w:rsidRPr="00533E56">
        <w:rPr>
          <w:rFonts w:ascii="Arial" w:hAnsi="Arial" w:cs="Arial"/>
          <w:color w:val="000000" w:themeColor="text1"/>
        </w:rPr>
        <w:t xml:space="preserve">improvements in the primary endpoint of positive subscale of the PANSS were seen in both tested doses of CPL’36, with </w:t>
      </w:r>
      <w:r w:rsidR="00DF58E6" w:rsidRPr="00533E56">
        <w:rPr>
          <w:rFonts w:ascii="Arial" w:hAnsi="Arial" w:cs="Arial"/>
          <w:color w:val="000000" w:themeColor="text1"/>
        </w:rPr>
        <w:t xml:space="preserve">a dose-response effect. </w:t>
      </w:r>
      <w:r w:rsidR="00FF2985" w:rsidRPr="00533E56">
        <w:rPr>
          <w:rFonts w:ascii="Arial" w:hAnsi="Arial" w:cs="Arial"/>
          <w:color w:val="000000" w:themeColor="text1"/>
        </w:rPr>
        <w:t>Management plans to discuss the</w:t>
      </w:r>
      <w:r w:rsidR="00002D48" w:rsidRPr="00533E56">
        <w:rPr>
          <w:rFonts w:ascii="Arial" w:hAnsi="Arial" w:cs="Arial"/>
          <w:color w:val="000000" w:themeColor="text1"/>
        </w:rPr>
        <w:t>se</w:t>
      </w:r>
      <w:r w:rsidR="005A2BEA" w:rsidRPr="00533E56">
        <w:rPr>
          <w:rFonts w:ascii="Arial" w:hAnsi="Arial" w:cs="Arial"/>
          <w:color w:val="000000" w:themeColor="text1"/>
        </w:rPr>
        <w:t xml:space="preserve"> highly encouraging</w:t>
      </w:r>
      <w:r w:rsidR="00FF2985" w:rsidRPr="00533E56">
        <w:rPr>
          <w:rFonts w:ascii="Arial" w:hAnsi="Arial" w:cs="Arial"/>
          <w:color w:val="000000" w:themeColor="text1"/>
        </w:rPr>
        <w:t xml:space="preserve"> results with regulatory agencies to </w:t>
      </w:r>
      <w:r w:rsidR="005A2BEA" w:rsidRPr="00533E56">
        <w:rPr>
          <w:rFonts w:ascii="Arial" w:hAnsi="Arial" w:cs="Arial"/>
          <w:color w:val="000000" w:themeColor="text1"/>
        </w:rPr>
        <w:t>advance CPL’36 towards</w:t>
      </w:r>
      <w:r w:rsidR="00CD0629" w:rsidRPr="00533E56">
        <w:rPr>
          <w:rFonts w:ascii="Arial" w:hAnsi="Arial" w:cs="Arial"/>
          <w:color w:val="000000" w:themeColor="text1"/>
        </w:rPr>
        <w:t xml:space="preserve"> registrational trials </w:t>
      </w:r>
      <w:r w:rsidR="005A2BEA" w:rsidRPr="00533E56">
        <w:rPr>
          <w:rFonts w:ascii="Arial" w:hAnsi="Arial" w:cs="Arial"/>
          <w:color w:val="000000" w:themeColor="text1"/>
        </w:rPr>
        <w:t>and global</w:t>
      </w:r>
      <w:r w:rsidR="00CD0629" w:rsidRPr="00533E56">
        <w:rPr>
          <w:rFonts w:ascii="Arial" w:hAnsi="Arial" w:cs="Arial"/>
          <w:color w:val="000000" w:themeColor="text1"/>
        </w:rPr>
        <w:t xml:space="preserve"> marketing approvals. </w:t>
      </w:r>
      <w:r w:rsidR="00D10F6D" w:rsidRPr="00533E56">
        <w:rPr>
          <w:rFonts w:ascii="Arial" w:hAnsi="Arial" w:cs="Arial"/>
          <w:color w:val="000000" w:themeColor="text1"/>
        </w:rPr>
        <w:t xml:space="preserve">Additionally, CPL’36 is being investigated as a potential treatment for levodopa-induced dyskinesia in </w:t>
      </w:r>
      <w:r w:rsidR="00925290" w:rsidRPr="00533E56">
        <w:rPr>
          <w:rFonts w:ascii="Arial" w:hAnsi="Arial" w:cs="Arial"/>
          <w:color w:val="000000" w:themeColor="text1"/>
        </w:rPr>
        <w:t>Parkinson’s disease, with Phase 2 results expected to be reported in 4Q 2024.</w:t>
      </w:r>
    </w:p>
    <w:p w14:paraId="19A21A96" w14:textId="77777777" w:rsidR="00261662" w:rsidRPr="00533E56" w:rsidRDefault="00261662" w:rsidP="00A96CF5">
      <w:pPr>
        <w:jc w:val="both"/>
        <w:rPr>
          <w:b/>
          <w:color w:val="000000" w:themeColor="text1"/>
        </w:rPr>
      </w:pPr>
    </w:p>
    <w:p w14:paraId="6AC4FAC1" w14:textId="236E1F9F" w:rsidR="008E55F1" w:rsidRPr="00533E56" w:rsidRDefault="003645B3" w:rsidP="00BA2E76">
      <w:pPr>
        <w:rPr>
          <w:rFonts w:ascii="Arial" w:hAnsi="Arial" w:cs="Arial"/>
          <w:iCs/>
          <w:color w:val="000000" w:themeColor="text1"/>
        </w:rPr>
      </w:pPr>
      <w:r w:rsidRPr="00533E56">
        <w:rPr>
          <w:rFonts w:ascii="Arial" w:hAnsi="Arial" w:cs="Arial"/>
          <w:iCs/>
          <w:color w:val="000000" w:themeColor="text1"/>
        </w:rPr>
        <w:t>“</w:t>
      </w:r>
      <w:r w:rsidR="00BA2E76" w:rsidRPr="00533E56">
        <w:rPr>
          <w:rFonts w:ascii="Arial" w:hAnsi="Arial" w:cs="Arial"/>
          <w:iCs/>
          <w:color w:val="000000" w:themeColor="text1"/>
        </w:rPr>
        <w:t xml:space="preserve">The results from this </w:t>
      </w:r>
      <w:r w:rsidR="007030AA" w:rsidRPr="00533E56">
        <w:rPr>
          <w:rFonts w:ascii="Arial" w:hAnsi="Arial" w:cs="Arial"/>
          <w:iCs/>
          <w:color w:val="000000" w:themeColor="text1"/>
        </w:rPr>
        <w:t xml:space="preserve">Phase 2 trial </w:t>
      </w:r>
      <w:r w:rsidR="00BA2E76" w:rsidRPr="00533E56">
        <w:rPr>
          <w:rFonts w:ascii="Arial" w:hAnsi="Arial" w:cs="Arial"/>
          <w:iCs/>
          <w:color w:val="000000" w:themeColor="text1"/>
        </w:rPr>
        <w:t xml:space="preserve">suggest a </w:t>
      </w:r>
      <w:r w:rsidRPr="00533E56">
        <w:rPr>
          <w:rFonts w:ascii="Arial" w:hAnsi="Arial" w:cs="Arial"/>
          <w:iCs/>
          <w:color w:val="000000" w:themeColor="text1"/>
        </w:rPr>
        <w:t>beneficial</w:t>
      </w:r>
      <w:r w:rsidR="00BA2E76" w:rsidRPr="00533E56">
        <w:rPr>
          <w:rFonts w:ascii="Arial" w:hAnsi="Arial" w:cs="Arial"/>
          <w:iCs/>
          <w:color w:val="000000" w:themeColor="text1"/>
        </w:rPr>
        <w:t xml:space="preserve"> effect </w:t>
      </w:r>
      <w:r w:rsidRPr="00533E56">
        <w:rPr>
          <w:rFonts w:ascii="Arial" w:hAnsi="Arial" w:cs="Arial"/>
          <w:iCs/>
          <w:color w:val="000000" w:themeColor="text1"/>
        </w:rPr>
        <w:t xml:space="preserve">of CPL’36 across multiple </w:t>
      </w:r>
      <w:r w:rsidR="0035343B" w:rsidRPr="00533E56">
        <w:rPr>
          <w:rFonts w:ascii="Arial" w:hAnsi="Arial" w:cs="Arial"/>
          <w:iCs/>
          <w:color w:val="000000" w:themeColor="text1"/>
        </w:rPr>
        <w:t>aspects</w:t>
      </w:r>
      <w:r w:rsidRPr="00533E56">
        <w:rPr>
          <w:rFonts w:ascii="Arial" w:hAnsi="Arial" w:cs="Arial"/>
          <w:iCs/>
          <w:color w:val="000000" w:themeColor="text1"/>
        </w:rPr>
        <w:t xml:space="preserve"> of</w:t>
      </w:r>
      <w:r w:rsidR="00BA2E76" w:rsidRPr="00533E56">
        <w:rPr>
          <w:rFonts w:ascii="Arial" w:hAnsi="Arial" w:cs="Arial"/>
          <w:iCs/>
          <w:color w:val="000000" w:themeColor="text1"/>
        </w:rPr>
        <w:t xml:space="preserve"> </w:t>
      </w:r>
      <w:r w:rsidR="008E6984" w:rsidRPr="00533E56">
        <w:rPr>
          <w:rFonts w:ascii="Arial" w:hAnsi="Arial" w:cs="Arial"/>
          <w:iCs/>
          <w:color w:val="000000" w:themeColor="text1"/>
        </w:rPr>
        <w:t>schizophrenia</w:t>
      </w:r>
      <w:r w:rsidR="00BA2E76" w:rsidRPr="00533E56">
        <w:rPr>
          <w:rFonts w:ascii="Arial" w:hAnsi="Arial" w:cs="Arial"/>
          <w:iCs/>
          <w:color w:val="000000" w:themeColor="text1"/>
        </w:rPr>
        <w:t xml:space="preserve"> pathophysiology. </w:t>
      </w:r>
      <w:r w:rsidRPr="00533E56">
        <w:rPr>
          <w:rFonts w:ascii="Arial" w:hAnsi="Arial" w:cs="Arial"/>
          <w:iCs/>
          <w:color w:val="000000" w:themeColor="text1"/>
        </w:rPr>
        <w:t>Clinical efficacy</w:t>
      </w:r>
      <w:r w:rsidR="00BA2E76" w:rsidRPr="00533E56">
        <w:rPr>
          <w:rFonts w:ascii="Arial" w:hAnsi="Arial" w:cs="Arial"/>
          <w:iCs/>
          <w:color w:val="000000" w:themeColor="text1"/>
        </w:rPr>
        <w:t xml:space="preserve"> </w:t>
      </w:r>
      <w:r w:rsidRPr="00533E56">
        <w:rPr>
          <w:rFonts w:ascii="Arial" w:hAnsi="Arial" w:cs="Arial"/>
          <w:iCs/>
          <w:color w:val="000000" w:themeColor="text1"/>
        </w:rPr>
        <w:t>was deemed</w:t>
      </w:r>
      <w:r w:rsidR="00BA2E76" w:rsidRPr="00533E56">
        <w:rPr>
          <w:rFonts w:ascii="Arial" w:hAnsi="Arial" w:cs="Arial"/>
          <w:iCs/>
          <w:color w:val="000000" w:themeColor="text1"/>
        </w:rPr>
        <w:t xml:space="preserve"> stron</w:t>
      </w:r>
      <w:r w:rsidRPr="00533E56">
        <w:rPr>
          <w:rFonts w:ascii="Arial" w:hAnsi="Arial" w:cs="Arial"/>
          <w:iCs/>
          <w:color w:val="000000" w:themeColor="text1"/>
        </w:rPr>
        <w:t>g, and moreover</w:t>
      </w:r>
      <w:r w:rsidR="00BA2E76" w:rsidRPr="00533E56">
        <w:rPr>
          <w:rFonts w:ascii="Arial" w:hAnsi="Arial" w:cs="Arial"/>
          <w:iCs/>
          <w:color w:val="000000" w:themeColor="text1"/>
        </w:rPr>
        <w:t xml:space="preserve">, the drug tolerability was </w:t>
      </w:r>
      <w:r w:rsidRPr="00533E56">
        <w:rPr>
          <w:rFonts w:ascii="Arial" w:hAnsi="Arial" w:cs="Arial"/>
          <w:iCs/>
          <w:color w:val="000000" w:themeColor="text1"/>
        </w:rPr>
        <w:t>quite favorable,”</w:t>
      </w:r>
      <w:r w:rsidR="00BA2E76" w:rsidRPr="00533E56">
        <w:rPr>
          <w:rFonts w:ascii="Arial" w:hAnsi="Arial" w:cs="Arial"/>
          <w:iCs/>
          <w:color w:val="000000" w:themeColor="text1"/>
        </w:rPr>
        <w:t xml:space="preserve"> </w:t>
      </w:r>
      <w:r w:rsidR="00BA2E76" w:rsidRPr="00533E56">
        <w:rPr>
          <w:rFonts w:ascii="Arial" w:hAnsi="Arial" w:cs="Arial"/>
          <w:b/>
          <w:bCs/>
          <w:iCs/>
          <w:color w:val="000000" w:themeColor="text1"/>
        </w:rPr>
        <w:t>confirm</w:t>
      </w:r>
      <w:r w:rsidRPr="00533E56">
        <w:rPr>
          <w:rFonts w:ascii="Arial" w:hAnsi="Arial" w:cs="Arial"/>
          <w:b/>
          <w:bCs/>
          <w:iCs/>
          <w:color w:val="000000" w:themeColor="text1"/>
        </w:rPr>
        <w:t>ed</w:t>
      </w:r>
      <w:r w:rsidR="00BA2E76" w:rsidRPr="00533E56">
        <w:rPr>
          <w:rFonts w:ascii="Arial" w:hAnsi="Arial" w:cs="Arial"/>
          <w:b/>
          <w:bCs/>
          <w:iCs/>
          <w:color w:val="000000" w:themeColor="text1"/>
        </w:rPr>
        <w:t xml:space="preserve"> Maciej Wieczorek, </w:t>
      </w:r>
      <w:r w:rsidR="007613AC" w:rsidRPr="00533E56">
        <w:rPr>
          <w:rFonts w:ascii="Arial" w:hAnsi="Arial" w:cs="Arial"/>
          <w:b/>
          <w:bCs/>
          <w:iCs/>
          <w:color w:val="000000" w:themeColor="text1"/>
        </w:rPr>
        <w:t xml:space="preserve">Ph.D., </w:t>
      </w:r>
      <w:r w:rsidR="00BA2E76" w:rsidRPr="00533E56">
        <w:rPr>
          <w:rFonts w:ascii="Arial" w:hAnsi="Arial" w:cs="Arial"/>
          <w:b/>
          <w:bCs/>
          <w:iCs/>
          <w:color w:val="000000" w:themeColor="text1"/>
        </w:rPr>
        <w:t>CEO</w:t>
      </w:r>
      <w:r w:rsidRPr="00533E56">
        <w:rPr>
          <w:rFonts w:ascii="Arial" w:hAnsi="Arial" w:cs="Arial"/>
          <w:b/>
          <w:bCs/>
          <w:iCs/>
          <w:color w:val="000000" w:themeColor="text1"/>
        </w:rPr>
        <w:t xml:space="preserve"> of Celon Pharma S.A</w:t>
      </w:r>
      <w:r w:rsidR="00BA2E76" w:rsidRPr="00533E56">
        <w:rPr>
          <w:rFonts w:ascii="Arial" w:hAnsi="Arial" w:cs="Arial"/>
          <w:b/>
          <w:bCs/>
          <w:iCs/>
          <w:color w:val="000000" w:themeColor="text1"/>
        </w:rPr>
        <w:t>.</w:t>
      </w:r>
      <w:r w:rsidR="00BA2E76" w:rsidRPr="00533E56">
        <w:rPr>
          <w:rFonts w:ascii="Arial" w:hAnsi="Arial" w:cs="Arial"/>
          <w:b/>
          <w:iCs/>
          <w:color w:val="000000" w:themeColor="text1"/>
        </w:rPr>
        <w:t xml:space="preserve"> </w:t>
      </w:r>
      <w:r w:rsidR="0035343B" w:rsidRPr="00533E56">
        <w:rPr>
          <w:rFonts w:ascii="Arial" w:hAnsi="Arial" w:cs="Arial"/>
          <w:b/>
          <w:iCs/>
          <w:color w:val="000000" w:themeColor="text1"/>
        </w:rPr>
        <w:t>“</w:t>
      </w:r>
      <w:r w:rsidR="00BA2E76" w:rsidRPr="00533E56">
        <w:rPr>
          <w:rFonts w:ascii="Arial" w:hAnsi="Arial" w:cs="Arial"/>
          <w:iCs/>
          <w:color w:val="000000" w:themeColor="text1"/>
        </w:rPr>
        <w:t xml:space="preserve">We believe that these results could herald a breakthrough in the treatment of this disease </w:t>
      </w:r>
      <w:r w:rsidR="00F678EB" w:rsidRPr="00533E56">
        <w:rPr>
          <w:rFonts w:ascii="Arial" w:hAnsi="Arial" w:cs="Arial"/>
          <w:iCs/>
          <w:color w:val="000000" w:themeColor="text1"/>
        </w:rPr>
        <w:t xml:space="preserve">that impacts over 24 million </w:t>
      </w:r>
      <w:r w:rsidR="00346B7F" w:rsidRPr="00533E56">
        <w:rPr>
          <w:rFonts w:ascii="Arial" w:hAnsi="Arial" w:cs="Arial"/>
          <w:iCs/>
          <w:color w:val="000000" w:themeColor="text1"/>
        </w:rPr>
        <w:t>patients</w:t>
      </w:r>
      <w:r w:rsidR="00F678EB" w:rsidRPr="00533E56">
        <w:rPr>
          <w:rFonts w:ascii="Arial" w:hAnsi="Arial" w:cs="Arial"/>
          <w:iCs/>
          <w:color w:val="000000" w:themeColor="text1"/>
        </w:rPr>
        <w:t xml:space="preserve"> </w:t>
      </w:r>
      <w:r w:rsidR="00BA2E76" w:rsidRPr="00533E56">
        <w:rPr>
          <w:rFonts w:ascii="Arial" w:hAnsi="Arial" w:cs="Arial"/>
          <w:iCs/>
          <w:color w:val="000000" w:themeColor="text1"/>
        </w:rPr>
        <w:t>world-wide</w:t>
      </w:r>
      <w:r w:rsidR="003D736E" w:rsidRPr="00533E56">
        <w:rPr>
          <w:rFonts w:ascii="Arial" w:hAnsi="Arial" w:cs="Arial"/>
          <w:iCs/>
          <w:color w:val="000000" w:themeColor="text1"/>
        </w:rPr>
        <w:t xml:space="preserve">, by identifying </w:t>
      </w:r>
      <w:r w:rsidR="00244B21" w:rsidRPr="00533E56">
        <w:rPr>
          <w:rFonts w:ascii="Arial" w:hAnsi="Arial" w:cs="Arial"/>
          <w:iCs/>
          <w:color w:val="000000" w:themeColor="text1"/>
        </w:rPr>
        <w:t>an innovative</w:t>
      </w:r>
      <w:r w:rsidR="003D736E" w:rsidRPr="00533E56">
        <w:rPr>
          <w:rFonts w:ascii="Arial" w:hAnsi="Arial" w:cs="Arial"/>
          <w:iCs/>
          <w:color w:val="000000" w:themeColor="text1"/>
        </w:rPr>
        <w:t xml:space="preserve"> drug class</w:t>
      </w:r>
      <w:r w:rsidR="00A96244" w:rsidRPr="00533E56">
        <w:rPr>
          <w:rFonts w:ascii="Arial" w:hAnsi="Arial" w:cs="Arial"/>
          <w:iCs/>
          <w:color w:val="000000" w:themeColor="text1"/>
        </w:rPr>
        <w:t xml:space="preserve"> </w:t>
      </w:r>
      <w:r w:rsidR="00DE11A7" w:rsidRPr="00533E56">
        <w:rPr>
          <w:rFonts w:ascii="Arial" w:hAnsi="Arial" w:cs="Arial"/>
          <w:iCs/>
          <w:color w:val="000000" w:themeColor="text1"/>
        </w:rPr>
        <w:t xml:space="preserve">with a new mechanism of action </w:t>
      </w:r>
      <w:r w:rsidR="00A96244" w:rsidRPr="00533E56">
        <w:rPr>
          <w:rFonts w:ascii="Arial" w:hAnsi="Arial" w:cs="Arial"/>
          <w:iCs/>
          <w:color w:val="000000" w:themeColor="text1"/>
        </w:rPr>
        <w:t xml:space="preserve">that </w:t>
      </w:r>
      <w:r w:rsidR="00045E65" w:rsidRPr="00533E56">
        <w:rPr>
          <w:rFonts w:ascii="Arial" w:hAnsi="Arial" w:cs="Arial"/>
          <w:iCs/>
          <w:color w:val="000000" w:themeColor="text1"/>
        </w:rPr>
        <w:t xml:space="preserve">may be used to </w:t>
      </w:r>
      <w:r w:rsidR="00D7680A" w:rsidRPr="00533E56">
        <w:rPr>
          <w:rFonts w:ascii="Arial" w:hAnsi="Arial" w:cs="Arial"/>
          <w:iCs/>
          <w:color w:val="000000" w:themeColor="text1"/>
        </w:rPr>
        <w:t>replace or complement the current standard of care</w:t>
      </w:r>
      <w:r w:rsidR="00BA2E76" w:rsidRPr="00533E56">
        <w:rPr>
          <w:rFonts w:ascii="Arial" w:hAnsi="Arial" w:cs="Arial"/>
          <w:iCs/>
          <w:color w:val="000000" w:themeColor="text1"/>
        </w:rPr>
        <w:t>.</w:t>
      </w:r>
      <w:r w:rsidR="00EE6B89" w:rsidRPr="00533E56">
        <w:rPr>
          <w:rFonts w:ascii="Arial" w:hAnsi="Arial" w:cs="Arial"/>
          <w:iCs/>
          <w:color w:val="000000" w:themeColor="text1"/>
        </w:rPr>
        <w:t xml:space="preserve"> These results represent a lengthy </w:t>
      </w:r>
      <w:r w:rsidR="00321926" w:rsidRPr="00533E56">
        <w:rPr>
          <w:rFonts w:ascii="Arial" w:hAnsi="Arial" w:cs="Arial"/>
          <w:iCs/>
          <w:color w:val="000000" w:themeColor="text1"/>
        </w:rPr>
        <w:t xml:space="preserve">and satisfying </w:t>
      </w:r>
      <w:r w:rsidR="00EE6B89" w:rsidRPr="00533E56">
        <w:rPr>
          <w:rFonts w:ascii="Arial" w:hAnsi="Arial" w:cs="Arial"/>
          <w:iCs/>
          <w:color w:val="000000" w:themeColor="text1"/>
        </w:rPr>
        <w:t xml:space="preserve">journey for Celon as we have been closely analyzing the competitive environment </w:t>
      </w:r>
      <w:r w:rsidR="00321926" w:rsidRPr="00533E56">
        <w:rPr>
          <w:rFonts w:ascii="Arial" w:hAnsi="Arial" w:cs="Arial"/>
          <w:iCs/>
          <w:color w:val="000000" w:themeColor="text1"/>
        </w:rPr>
        <w:t xml:space="preserve">in schizophrenia </w:t>
      </w:r>
      <w:r w:rsidR="00EE6B89" w:rsidRPr="00533E56">
        <w:rPr>
          <w:rFonts w:ascii="Arial" w:hAnsi="Arial" w:cs="Arial"/>
          <w:iCs/>
          <w:color w:val="000000" w:themeColor="text1"/>
        </w:rPr>
        <w:t xml:space="preserve">and </w:t>
      </w:r>
      <w:r w:rsidR="00EF02AE" w:rsidRPr="00533E56">
        <w:rPr>
          <w:rFonts w:ascii="Arial" w:hAnsi="Arial" w:cs="Arial"/>
          <w:iCs/>
          <w:color w:val="000000" w:themeColor="text1"/>
        </w:rPr>
        <w:t>the clinical trial designs of major international companies working on PDE10A inhibitors</w:t>
      </w:r>
      <w:r w:rsidR="005D71DB" w:rsidRPr="00533E56">
        <w:rPr>
          <w:rFonts w:ascii="Arial" w:hAnsi="Arial" w:cs="Arial"/>
          <w:iCs/>
          <w:color w:val="000000" w:themeColor="text1"/>
        </w:rPr>
        <w:t>. We are therefore proud to have developed a drug characterized by unprecedented efficacy, with global potential</w:t>
      </w:r>
      <w:r w:rsidR="00970CEF" w:rsidRPr="00533E56">
        <w:rPr>
          <w:rFonts w:ascii="Arial" w:hAnsi="Arial" w:cs="Arial"/>
          <w:iCs/>
          <w:color w:val="000000" w:themeColor="text1"/>
        </w:rPr>
        <w:t xml:space="preserve"> to help underserved patients,” he concluded. </w:t>
      </w:r>
    </w:p>
    <w:p w14:paraId="67835BAC" w14:textId="77777777" w:rsidR="00BA2E76" w:rsidRPr="00533E56" w:rsidRDefault="00BA2E76" w:rsidP="00BA2E76">
      <w:pPr>
        <w:ind w:firstLine="708"/>
        <w:jc w:val="both"/>
        <w:rPr>
          <w:rFonts w:ascii="Arial" w:hAnsi="Arial" w:cs="Arial"/>
          <w:iCs/>
          <w:color w:val="000000" w:themeColor="text1"/>
        </w:rPr>
      </w:pPr>
    </w:p>
    <w:p w14:paraId="63E8F5B6" w14:textId="335FE4EB" w:rsidR="00261662" w:rsidRPr="00533E56" w:rsidRDefault="009308EC" w:rsidP="00A96CF5">
      <w:pPr>
        <w:jc w:val="both"/>
        <w:rPr>
          <w:rFonts w:ascii="Arial" w:hAnsi="Arial" w:cs="Arial"/>
          <w:b/>
          <w:bCs/>
          <w:color w:val="000000" w:themeColor="text1"/>
        </w:rPr>
      </w:pPr>
      <w:r w:rsidRPr="00533E56">
        <w:rPr>
          <w:rFonts w:ascii="Arial" w:hAnsi="Arial" w:cs="Arial"/>
          <w:b/>
          <w:bCs/>
          <w:color w:val="000000" w:themeColor="text1"/>
        </w:rPr>
        <w:t>Trial description</w:t>
      </w:r>
    </w:p>
    <w:p w14:paraId="4C02FB2A" w14:textId="77777777" w:rsidR="00A96CF5" w:rsidRPr="00533E56" w:rsidRDefault="00A96CF5" w:rsidP="00A96CF5">
      <w:pPr>
        <w:jc w:val="both"/>
        <w:rPr>
          <w:color w:val="000000" w:themeColor="text1"/>
        </w:rPr>
      </w:pPr>
    </w:p>
    <w:p w14:paraId="1A4EDC96" w14:textId="661FCA06" w:rsidR="009308EC" w:rsidRPr="00533E56" w:rsidRDefault="009308EC" w:rsidP="00AA113C">
      <w:pPr>
        <w:jc w:val="both"/>
        <w:rPr>
          <w:rFonts w:ascii="Arial" w:hAnsi="Arial" w:cs="Arial"/>
          <w:bCs/>
          <w:color w:val="000000" w:themeColor="text1"/>
        </w:rPr>
      </w:pPr>
      <w:r w:rsidRPr="00533E56">
        <w:rPr>
          <w:rFonts w:ascii="Arial" w:hAnsi="Arial" w:cs="Arial"/>
          <w:bCs/>
          <w:color w:val="000000" w:themeColor="text1"/>
        </w:rPr>
        <w:t xml:space="preserve">The CPL’36 Phase 2 study was an international, multicenter, randomized, placebo-controlled clinical trial conducted on a group of 189 adult patients hospitalized due to acute schizophrenia.  </w:t>
      </w:r>
    </w:p>
    <w:p w14:paraId="00453DE5" w14:textId="77777777" w:rsidR="009308EC" w:rsidRPr="00533E56" w:rsidRDefault="009308EC" w:rsidP="00AA113C">
      <w:pPr>
        <w:jc w:val="both"/>
        <w:rPr>
          <w:rFonts w:ascii="Arial" w:hAnsi="Arial" w:cs="Arial"/>
          <w:b/>
          <w:color w:val="000000" w:themeColor="text1"/>
        </w:rPr>
      </w:pPr>
    </w:p>
    <w:p w14:paraId="6D62A2E5" w14:textId="7571E0E1" w:rsidR="009308EC" w:rsidRPr="00533E56" w:rsidRDefault="009308EC" w:rsidP="00AA113C">
      <w:pPr>
        <w:jc w:val="both"/>
        <w:rPr>
          <w:rFonts w:ascii="Arial" w:hAnsi="Arial" w:cs="Arial"/>
          <w:color w:val="000000" w:themeColor="text1"/>
        </w:rPr>
      </w:pPr>
      <w:r w:rsidRPr="00533E56">
        <w:rPr>
          <w:rFonts w:ascii="Arial" w:hAnsi="Arial" w:cs="Arial"/>
          <w:color w:val="000000" w:themeColor="text1"/>
        </w:rPr>
        <w:t>CPL’36 was administered for 4 weeks in two doses of 20 and 40 mg once daily and was placebo-controlled at a ratio of 1:1:1. Patient baseline severity was moderate</w:t>
      </w:r>
      <w:r w:rsidR="00FC1141" w:rsidRPr="00533E56">
        <w:rPr>
          <w:rFonts w:ascii="Arial" w:hAnsi="Arial" w:cs="Arial"/>
          <w:color w:val="000000" w:themeColor="text1"/>
        </w:rPr>
        <w:t xml:space="preserve">-severe to severe, as characterized by a </w:t>
      </w:r>
      <w:r w:rsidRPr="00533E56">
        <w:rPr>
          <w:rFonts w:ascii="Arial" w:hAnsi="Arial" w:cs="Arial"/>
          <w:color w:val="000000" w:themeColor="text1"/>
        </w:rPr>
        <w:t>PANSS</w:t>
      </w:r>
      <w:r w:rsidR="0043255F" w:rsidRPr="00533E56">
        <w:rPr>
          <w:rFonts w:ascii="Arial" w:hAnsi="Arial" w:cs="Arial"/>
          <w:color w:val="000000" w:themeColor="text1"/>
        </w:rPr>
        <w:t xml:space="preserve"> total</w:t>
      </w:r>
      <w:r w:rsidRPr="00533E56">
        <w:rPr>
          <w:rFonts w:ascii="Arial" w:hAnsi="Arial" w:cs="Arial"/>
          <w:color w:val="000000" w:themeColor="text1"/>
        </w:rPr>
        <w:t xml:space="preserve"> score </w:t>
      </w:r>
      <w:r w:rsidR="0043255F" w:rsidRPr="00533E56">
        <w:rPr>
          <w:rFonts w:ascii="Arial" w:hAnsi="Arial" w:cs="Arial"/>
          <w:color w:val="000000" w:themeColor="text1"/>
        </w:rPr>
        <w:t>of approximately 106</w:t>
      </w:r>
      <w:r w:rsidR="00F55A2F" w:rsidRPr="00533E56">
        <w:rPr>
          <w:rFonts w:ascii="Arial" w:hAnsi="Arial" w:cs="Arial"/>
          <w:color w:val="000000" w:themeColor="text1"/>
        </w:rPr>
        <w:t>.</w:t>
      </w:r>
      <w:r w:rsidR="002A6960" w:rsidRPr="00533E56">
        <w:rPr>
          <w:rFonts w:ascii="Arial" w:hAnsi="Arial" w:cs="Arial"/>
          <w:color w:val="000000" w:themeColor="text1"/>
        </w:rPr>
        <w:t xml:space="preserve"> Patients were screened for up to 10 days and then randomized and treated over a four-week period,</w:t>
      </w:r>
      <w:r w:rsidR="00B427A8" w:rsidRPr="00533E56">
        <w:rPr>
          <w:rFonts w:ascii="Arial" w:hAnsi="Arial" w:cs="Arial"/>
          <w:color w:val="000000" w:themeColor="text1"/>
        </w:rPr>
        <w:t xml:space="preserve"> at which time the primary endpoint assessment was conducted</w:t>
      </w:r>
      <w:r w:rsidR="0011433E" w:rsidRPr="00533E56">
        <w:rPr>
          <w:rFonts w:ascii="Arial" w:hAnsi="Arial" w:cs="Arial"/>
          <w:color w:val="000000" w:themeColor="text1"/>
        </w:rPr>
        <w:t xml:space="preserve"> at Day 28.</w:t>
      </w:r>
    </w:p>
    <w:p w14:paraId="14BFF0A2" w14:textId="77777777" w:rsidR="00F55A2F" w:rsidRPr="00533E56" w:rsidRDefault="00F55A2F" w:rsidP="00AA113C">
      <w:pPr>
        <w:jc w:val="both"/>
        <w:rPr>
          <w:rFonts w:ascii="Arial" w:hAnsi="Arial" w:cs="Arial"/>
          <w:color w:val="000000" w:themeColor="text1"/>
        </w:rPr>
      </w:pPr>
    </w:p>
    <w:p w14:paraId="5EDAEF94" w14:textId="3CAC8EF6" w:rsidR="0011433E" w:rsidRPr="00533E56" w:rsidRDefault="0011433E" w:rsidP="00AA113C">
      <w:pPr>
        <w:jc w:val="both"/>
        <w:rPr>
          <w:rFonts w:ascii="Arial" w:hAnsi="Arial" w:cs="Arial"/>
          <w:color w:val="000000" w:themeColor="text1"/>
        </w:rPr>
      </w:pPr>
      <w:r w:rsidRPr="00533E56">
        <w:rPr>
          <w:rFonts w:ascii="Arial" w:hAnsi="Arial" w:cs="Arial"/>
          <w:color w:val="000000" w:themeColor="text1"/>
        </w:rPr>
        <w:t xml:space="preserve">At Week 4 of treatment, the </w:t>
      </w:r>
      <w:r w:rsidR="00C539BD" w:rsidRPr="00533E56">
        <w:rPr>
          <w:rFonts w:ascii="Arial" w:hAnsi="Arial" w:cs="Arial"/>
          <w:color w:val="000000" w:themeColor="text1"/>
        </w:rPr>
        <w:t>reduction</w:t>
      </w:r>
      <w:r w:rsidRPr="00533E56">
        <w:rPr>
          <w:rFonts w:ascii="Arial" w:hAnsi="Arial" w:cs="Arial"/>
          <w:color w:val="000000" w:themeColor="text1"/>
        </w:rPr>
        <w:t xml:space="preserve"> in positive PANSS </w:t>
      </w:r>
      <w:r w:rsidR="006D66D4" w:rsidRPr="00533E56">
        <w:rPr>
          <w:rFonts w:ascii="Arial" w:hAnsi="Arial" w:cs="Arial"/>
          <w:color w:val="000000" w:themeColor="text1"/>
        </w:rPr>
        <w:t xml:space="preserve">subscale </w:t>
      </w:r>
      <w:r w:rsidRPr="00533E56">
        <w:rPr>
          <w:rFonts w:ascii="Arial" w:hAnsi="Arial" w:cs="Arial"/>
          <w:color w:val="000000" w:themeColor="text1"/>
        </w:rPr>
        <w:t xml:space="preserve">score which was the primary endpoint in the trial was 3.7 units </w:t>
      </w:r>
      <w:r w:rsidR="003A55FE" w:rsidRPr="00533E56">
        <w:rPr>
          <w:rFonts w:ascii="Arial" w:hAnsi="Arial" w:cs="Arial"/>
          <w:color w:val="000000" w:themeColor="text1"/>
        </w:rPr>
        <w:t xml:space="preserve">from baseline </w:t>
      </w:r>
      <w:r w:rsidRPr="00533E56">
        <w:rPr>
          <w:rFonts w:ascii="Arial" w:hAnsi="Arial" w:cs="Arial"/>
          <w:color w:val="000000" w:themeColor="text1"/>
        </w:rPr>
        <w:t>in the 20 mg dose (LS mean difference from placebo, p&lt;0.001, Cohen’s d: 0.73), and 6.3 units in the 40 mg dose (LS Mean difference from placebo, p&lt;0.001, Cohen’s d: 1.38).</w:t>
      </w:r>
    </w:p>
    <w:p w14:paraId="47EE1111" w14:textId="77777777" w:rsidR="00B0104A" w:rsidRPr="00533E56" w:rsidRDefault="00B0104A" w:rsidP="00AA113C">
      <w:pPr>
        <w:jc w:val="both"/>
        <w:rPr>
          <w:rFonts w:ascii="Arial" w:hAnsi="Arial" w:cs="Arial"/>
          <w:color w:val="000000" w:themeColor="text1"/>
        </w:rPr>
      </w:pPr>
    </w:p>
    <w:p w14:paraId="7C1023F9" w14:textId="65DDD8BF" w:rsidR="009308EC" w:rsidRPr="00533E56" w:rsidRDefault="00B0104A" w:rsidP="00AA113C">
      <w:pPr>
        <w:jc w:val="both"/>
        <w:rPr>
          <w:rFonts w:ascii="Arial" w:hAnsi="Arial" w:cs="Arial"/>
          <w:color w:val="000000" w:themeColor="text1"/>
        </w:rPr>
      </w:pPr>
      <w:r w:rsidRPr="00533E56">
        <w:rPr>
          <w:rFonts w:ascii="Arial" w:hAnsi="Arial" w:cs="Arial"/>
          <w:color w:val="000000" w:themeColor="text1"/>
        </w:rPr>
        <w:t>For total PANSS score a</w:t>
      </w:r>
      <w:r w:rsidR="009308EC" w:rsidRPr="00533E56">
        <w:rPr>
          <w:rFonts w:ascii="Arial" w:hAnsi="Arial" w:cs="Arial"/>
          <w:color w:val="000000" w:themeColor="text1"/>
        </w:rPr>
        <w:t>t week 4 of treatment</w:t>
      </w:r>
      <w:r w:rsidR="00076E93" w:rsidRPr="00533E56">
        <w:rPr>
          <w:rFonts w:ascii="Arial" w:hAnsi="Arial" w:cs="Arial"/>
          <w:color w:val="000000" w:themeColor="text1"/>
        </w:rPr>
        <w:t xml:space="preserve"> (a key secondary endpoint)</w:t>
      </w:r>
      <w:r w:rsidR="009308EC" w:rsidRPr="00533E56">
        <w:rPr>
          <w:rFonts w:ascii="Arial" w:hAnsi="Arial" w:cs="Arial"/>
          <w:color w:val="000000" w:themeColor="text1"/>
        </w:rPr>
        <w:t xml:space="preserve">, the 20 mg dose </w:t>
      </w:r>
      <w:r w:rsidRPr="00533E56">
        <w:rPr>
          <w:rFonts w:ascii="Arial" w:hAnsi="Arial" w:cs="Arial"/>
          <w:color w:val="000000" w:themeColor="text1"/>
        </w:rPr>
        <w:t xml:space="preserve">of CPL’36 </w:t>
      </w:r>
      <w:r w:rsidR="009308EC" w:rsidRPr="00533E56">
        <w:rPr>
          <w:rFonts w:ascii="Arial" w:hAnsi="Arial" w:cs="Arial"/>
          <w:color w:val="000000" w:themeColor="text1"/>
        </w:rPr>
        <w:t xml:space="preserve">demonstrated </w:t>
      </w:r>
      <w:r w:rsidR="00C539BD" w:rsidRPr="00533E56">
        <w:rPr>
          <w:rFonts w:ascii="Arial" w:hAnsi="Arial" w:cs="Arial"/>
          <w:color w:val="000000" w:themeColor="text1"/>
        </w:rPr>
        <w:t xml:space="preserve">a </w:t>
      </w:r>
      <w:r w:rsidR="005125E3" w:rsidRPr="00533E56">
        <w:rPr>
          <w:rFonts w:ascii="Arial" w:hAnsi="Arial" w:cs="Arial"/>
          <w:color w:val="000000" w:themeColor="text1"/>
        </w:rPr>
        <w:t>9.7</w:t>
      </w:r>
      <w:r w:rsidR="003A55FE" w:rsidRPr="00533E56">
        <w:rPr>
          <w:rFonts w:ascii="Arial" w:hAnsi="Arial" w:cs="Arial"/>
          <w:color w:val="000000" w:themeColor="text1"/>
        </w:rPr>
        <w:t xml:space="preserve"> </w:t>
      </w:r>
      <w:r w:rsidR="005125E3" w:rsidRPr="00533E56">
        <w:rPr>
          <w:rFonts w:ascii="Arial" w:hAnsi="Arial" w:cs="Arial"/>
          <w:color w:val="000000" w:themeColor="text1"/>
        </w:rPr>
        <w:t>unit reduction</w:t>
      </w:r>
      <w:r w:rsidR="003A55FE" w:rsidRPr="00533E56">
        <w:rPr>
          <w:rFonts w:ascii="Arial" w:hAnsi="Arial" w:cs="Arial"/>
          <w:color w:val="000000" w:themeColor="text1"/>
        </w:rPr>
        <w:t xml:space="preserve"> from baseline</w:t>
      </w:r>
      <w:r w:rsidR="005125E3" w:rsidRPr="00533E56">
        <w:rPr>
          <w:rFonts w:ascii="Arial" w:hAnsi="Arial" w:cs="Arial"/>
          <w:color w:val="000000" w:themeColor="text1"/>
        </w:rPr>
        <w:t xml:space="preserve"> </w:t>
      </w:r>
      <w:r w:rsidR="009308EC" w:rsidRPr="00533E56">
        <w:rPr>
          <w:rFonts w:ascii="Arial" w:hAnsi="Arial" w:cs="Arial"/>
          <w:color w:val="000000" w:themeColor="text1"/>
        </w:rPr>
        <w:t xml:space="preserve">compared to placebo (LS mean difference from placebo, p&lt;0.001, Cohen’s d: 0.77), and </w:t>
      </w:r>
      <w:r w:rsidR="00076E93" w:rsidRPr="00533E56">
        <w:rPr>
          <w:rFonts w:ascii="Arial" w:hAnsi="Arial" w:cs="Arial"/>
          <w:color w:val="000000" w:themeColor="text1"/>
        </w:rPr>
        <w:t xml:space="preserve">16.4 units </w:t>
      </w:r>
      <w:r w:rsidR="009308EC" w:rsidRPr="00533E56">
        <w:rPr>
          <w:rFonts w:ascii="Arial" w:hAnsi="Arial" w:cs="Arial"/>
          <w:color w:val="000000" w:themeColor="text1"/>
        </w:rPr>
        <w:t>in the 40 mg dose (LS mean difference from placebo, p&lt;0.001, Cohen’s d: 1.47)</w:t>
      </w:r>
      <w:r w:rsidR="00A74AC4" w:rsidRPr="00533E56">
        <w:rPr>
          <w:rFonts w:ascii="Arial" w:hAnsi="Arial" w:cs="Arial"/>
          <w:color w:val="000000" w:themeColor="text1"/>
        </w:rPr>
        <w:t>.</w:t>
      </w:r>
    </w:p>
    <w:p w14:paraId="0CC179B0" w14:textId="77777777" w:rsidR="00A74AC4" w:rsidRPr="00533E56" w:rsidRDefault="00A74AC4" w:rsidP="00AA113C">
      <w:pPr>
        <w:jc w:val="both"/>
        <w:rPr>
          <w:rFonts w:ascii="Arial" w:hAnsi="Arial" w:cs="Arial"/>
          <w:color w:val="000000" w:themeColor="text1"/>
        </w:rPr>
      </w:pPr>
    </w:p>
    <w:p w14:paraId="535289C1" w14:textId="46D34D63" w:rsidR="003A55FE" w:rsidRPr="00533E56" w:rsidRDefault="00A74AC4" w:rsidP="00AA113C">
      <w:pPr>
        <w:jc w:val="both"/>
        <w:rPr>
          <w:rFonts w:ascii="Arial" w:hAnsi="Arial" w:cs="Arial"/>
          <w:color w:val="000000" w:themeColor="text1"/>
        </w:rPr>
      </w:pPr>
      <w:r w:rsidRPr="00533E56">
        <w:rPr>
          <w:rFonts w:ascii="Arial" w:hAnsi="Arial" w:cs="Arial"/>
          <w:color w:val="000000" w:themeColor="text1"/>
        </w:rPr>
        <w:t xml:space="preserve">Other secondary endpoints in the trial included </w:t>
      </w:r>
      <w:r w:rsidR="003A55FE" w:rsidRPr="00533E56">
        <w:rPr>
          <w:rFonts w:ascii="Arial" w:hAnsi="Arial" w:cs="Arial"/>
          <w:color w:val="000000" w:themeColor="text1"/>
        </w:rPr>
        <w:t>the effects of CPL’36 on overall clinical improvement cognitive performance and functionin</w:t>
      </w:r>
      <w:r w:rsidR="00964F7C" w:rsidRPr="00533E56">
        <w:rPr>
          <w:rFonts w:ascii="Arial" w:hAnsi="Arial" w:cs="Arial"/>
          <w:color w:val="000000" w:themeColor="text1"/>
        </w:rPr>
        <w:t xml:space="preserve">g such as </w:t>
      </w:r>
      <w:r w:rsidR="003A55FE" w:rsidRPr="00533E56">
        <w:rPr>
          <w:rFonts w:ascii="Arial" w:hAnsi="Arial" w:cs="Arial"/>
          <w:color w:val="000000" w:themeColor="text1"/>
        </w:rPr>
        <w:t xml:space="preserve">Clinical Global Impression Scale Improvement (CGI-I), Brief Assessment of Cognition in Schizophrenia (BACS), and number of participants who withdraw due to adverse events (AEs). </w:t>
      </w:r>
      <w:r w:rsidR="00CB47D0" w:rsidRPr="00533E56">
        <w:rPr>
          <w:rFonts w:ascii="Arial" w:hAnsi="Arial" w:cs="Arial"/>
          <w:color w:val="000000" w:themeColor="text1"/>
        </w:rPr>
        <w:t xml:space="preserve">Results </w:t>
      </w:r>
      <w:r w:rsidR="00DD3C39" w:rsidRPr="00533E56">
        <w:rPr>
          <w:rFonts w:ascii="Arial" w:hAnsi="Arial" w:cs="Arial"/>
          <w:color w:val="000000" w:themeColor="text1"/>
        </w:rPr>
        <w:t xml:space="preserve">across all of </w:t>
      </w:r>
      <w:r w:rsidR="00CB47D0" w:rsidRPr="00533E56">
        <w:rPr>
          <w:rFonts w:ascii="Arial" w:hAnsi="Arial" w:cs="Arial"/>
          <w:color w:val="000000" w:themeColor="text1"/>
        </w:rPr>
        <w:t>these endpoints were also positive</w:t>
      </w:r>
      <w:r w:rsidR="00533E56" w:rsidRPr="00533E56">
        <w:rPr>
          <w:rFonts w:ascii="Arial" w:hAnsi="Arial" w:cs="Arial"/>
          <w:color w:val="000000" w:themeColor="text1"/>
        </w:rPr>
        <w:t>.</w:t>
      </w:r>
    </w:p>
    <w:p w14:paraId="65552813" w14:textId="207B9332" w:rsidR="00A74AC4" w:rsidRPr="00533E56" w:rsidRDefault="00A74AC4" w:rsidP="00AA113C">
      <w:pPr>
        <w:jc w:val="both"/>
        <w:rPr>
          <w:rFonts w:ascii="Arial" w:hAnsi="Arial" w:cs="Arial"/>
          <w:color w:val="000000" w:themeColor="text1"/>
        </w:rPr>
      </w:pPr>
    </w:p>
    <w:p w14:paraId="62B03D12" w14:textId="0100EDFD" w:rsidR="009308EC" w:rsidRPr="00533E56" w:rsidRDefault="00CB47D0" w:rsidP="00AA113C">
      <w:pPr>
        <w:jc w:val="both"/>
        <w:rPr>
          <w:rFonts w:ascii="Arial" w:hAnsi="Arial" w:cs="Arial"/>
          <w:color w:val="000000" w:themeColor="text1"/>
        </w:rPr>
      </w:pPr>
      <w:r w:rsidRPr="00533E56">
        <w:rPr>
          <w:rFonts w:ascii="Arial" w:hAnsi="Arial" w:cs="Arial"/>
          <w:color w:val="000000" w:themeColor="text1"/>
        </w:rPr>
        <w:t>Drug</w:t>
      </w:r>
      <w:r w:rsidR="009308EC" w:rsidRPr="00533E56">
        <w:rPr>
          <w:rFonts w:ascii="Arial" w:hAnsi="Arial" w:cs="Arial"/>
          <w:color w:val="000000" w:themeColor="text1"/>
        </w:rPr>
        <w:t xml:space="preserve"> tolerability was </w:t>
      </w:r>
      <w:r w:rsidRPr="00533E56">
        <w:rPr>
          <w:rFonts w:ascii="Arial" w:hAnsi="Arial" w:cs="Arial"/>
          <w:color w:val="000000" w:themeColor="text1"/>
        </w:rPr>
        <w:t>favorable</w:t>
      </w:r>
      <w:r w:rsidR="002C54B3" w:rsidRPr="00533E56">
        <w:rPr>
          <w:rFonts w:ascii="Arial" w:hAnsi="Arial" w:cs="Arial"/>
          <w:color w:val="000000" w:themeColor="text1"/>
        </w:rPr>
        <w:t xml:space="preserve"> with most </w:t>
      </w:r>
      <w:r w:rsidR="00AA113C" w:rsidRPr="00533E56">
        <w:rPr>
          <w:rFonts w:ascii="Arial" w:hAnsi="Arial" w:cs="Arial"/>
          <w:color w:val="000000" w:themeColor="text1"/>
        </w:rPr>
        <w:t xml:space="preserve">treatment emergent </w:t>
      </w:r>
      <w:r w:rsidR="002C54B3" w:rsidRPr="00533E56">
        <w:rPr>
          <w:rFonts w:ascii="Arial" w:hAnsi="Arial" w:cs="Arial"/>
          <w:color w:val="000000" w:themeColor="text1"/>
        </w:rPr>
        <w:t>adverse events characterized as mild</w:t>
      </w:r>
      <w:r w:rsidR="009308EC" w:rsidRPr="00533E56">
        <w:rPr>
          <w:rFonts w:ascii="Arial" w:hAnsi="Arial" w:cs="Arial"/>
          <w:color w:val="000000" w:themeColor="text1"/>
        </w:rPr>
        <w:t xml:space="preserve">. </w:t>
      </w:r>
      <w:r w:rsidR="002C54B3" w:rsidRPr="00533E56">
        <w:rPr>
          <w:rFonts w:ascii="Arial" w:hAnsi="Arial" w:cs="Arial"/>
          <w:color w:val="000000" w:themeColor="text1"/>
        </w:rPr>
        <w:t>Exacerbations of schizophrenia represented the most common</w:t>
      </w:r>
      <w:r w:rsidR="009308EC" w:rsidRPr="00533E56">
        <w:rPr>
          <w:rFonts w:ascii="Arial" w:hAnsi="Arial" w:cs="Arial"/>
          <w:color w:val="000000" w:themeColor="text1"/>
        </w:rPr>
        <w:t xml:space="preserve"> severe adverse </w:t>
      </w:r>
      <w:r w:rsidR="002C54B3" w:rsidRPr="00533E56">
        <w:rPr>
          <w:rFonts w:ascii="Arial" w:hAnsi="Arial" w:cs="Arial"/>
          <w:color w:val="000000" w:themeColor="text1"/>
        </w:rPr>
        <w:t>events that were</w:t>
      </w:r>
      <w:r w:rsidR="009308EC" w:rsidRPr="00533E56">
        <w:rPr>
          <w:rFonts w:ascii="Arial" w:hAnsi="Arial" w:cs="Arial"/>
          <w:color w:val="000000" w:themeColor="text1"/>
        </w:rPr>
        <w:t xml:space="preserve"> potentially related to the drug (1.5</w:t>
      </w:r>
      <w:r w:rsidR="002C54B3" w:rsidRPr="00533E56">
        <w:rPr>
          <w:rFonts w:ascii="Arial" w:hAnsi="Arial" w:cs="Arial"/>
          <w:color w:val="000000" w:themeColor="text1"/>
        </w:rPr>
        <w:t>%</w:t>
      </w:r>
      <w:r w:rsidR="009308EC" w:rsidRPr="00533E56">
        <w:rPr>
          <w:rFonts w:ascii="Arial" w:hAnsi="Arial" w:cs="Arial"/>
          <w:color w:val="000000" w:themeColor="text1"/>
        </w:rPr>
        <w:t xml:space="preserve"> in the placebo group, 1.8% in the 20 mg group and 3.1% in the 40 mg group). Treatment discontinuation due to adverse </w:t>
      </w:r>
      <w:r w:rsidR="006838A6" w:rsidRPr="00533E56">
        <w:rPr>
          <w:rFonts w:ascii="Arial" w:hAnsi="Arial" w:cs="Arial"/>
          <w:color w:val="000000" w:themeColor="text1"/>
        </w:rPr>
        <w:t>events</w:t>
      </w:r>
      <w:r w:rsidR="009308EC" w:rsidRPr="00533E56">
        <w:rPr>
          <w:rFonts w:ascii="Arial" w:hAnsi="Arial" w:cs="Arial"/>
          <w:color w:val="000000" w:themeColor="text1"/>
        </w:rPr>
        <w:t xml:space="preserve"> likely related to the drug occurred in 3.1% patients in the placebo group, 0% patients in the 20 mg group and 7.7% patients in the 40 mg group. </w:t>
      </w:r>
    </w:p>
    <w:p w14:paraId="080887A9" w14:textId="77777777" w:rsidR="00606216" w:rsidRPr="00533E56" w:rsidRDefault="00606216" w:rsidP="00CB47D0">
      <w:pPr>
        <w:jc w:val="both"/>
        <w:rPr>
          <w:rFonts w:ascii="Arial" w:hAnsi="Arial" w:cs="Arial"/>
          <w:color w:val="000000" w:themeColor="text1"/>
        </w:rPr>
      </w:pPr>
    </w:p>
    <w:p w14:paraId="722AF391" w14:textId="59898396" w:rsidR="00606216" w:rsidRPr="00533E56" w:rsidRDefault="00606216" w:rsidP="00CB47D0">
      <w:pPr>
        <w:jc w:val="both"/>
        <w:rPr>
          <w:rFonts w:ascii="Arial" w:hAnsi="Arial" w:cs="Arial"/>
          <w:b/>
          <w:bCs/>
          <w:color w:val="000000" w:themeColor="text1"/>
        </w:rPr>
      </w:pPr>
      <w:r w:rsidRPr="00533E56">
        <w:rPr>
          <w:rFonts w:ascii="Arial" w:hAnsi="Arial" w:cs="Arial"/>
          <w:b/>
          <w:bCs/>
          <w:color w:val="000000" w:themeColor="text1"/>
        </w:rPr>
        <w:t>Investor Call Information:</w:t>
      </w:r>
    </w:p>
    <w:p w14:paraId="468B9CBD" w14:textId="77777777" w:rsidR="00606216" w:rsidRPr="00533E56" w:rsidRDefault="00606216" w:rsidP="00CB47D0">
      <w:pPr>
        <w:jc w:val="both"/>
        <w:rPr>
          <w:rFonts w:ascii="Arial" w:hAnsi="Arial" w:cs="Arial"/>
          <w:color w:val="000000" w:themeColor="text1"/>
        </w:rPr>
      </w:pPr>
    </w:p>
    <w:p w14:paraId="6F88F69E" w14:textId="4A93FF17" w:rsidR="00606216" w:rsidRPr="00533E56" w:rsidRDefault="00533E56" w:rsidP="00CB47D0">
      <w:pPr>
        <w:jc w:val="both"/>
        <w:rPr>
          <w:rFonts w:ascii="Arial" w:hAnsi="Arial" w:cs="Arial"/>
          <w:color w:val="000000" w:themeColor="text1"/>
        </w:rPr>
      </w:pPr>
      <w:r w:rsidRPr="00533E56">
        <w:rPr>
          <w:rFonts w:ascii="Arial" w:hAnsi="Arial" w:cs="Arial"/>
          <w:color w:val="000000" w:themeColor="text1"/>
        </w:rPr>
        <w:t>Małgorzata Siewierska</w:t>
      </w:r>
    </w:p>
    <w:p w14:paraId="70BAC06F" w14:textId="7E8AD558" w:rsidR="00533E56" w:rsidRPr="00533E56" w:rsidRDefault="00E57571" w:rsidP="00CB47D0">
      <w:pPr>
        <w:jc w:val="both"/>
        <w:rPr>
          <w:rFonts w:ascii="Arial" w:hAnsi="Arial" w:cs="Arial"/>
          <w:color w:val="000000" w:themeColor="text1"/>
        </w:rPr>
      </w:pPr>
      <w:hyperlink r:id="rId6" w:history="1">
        <w:r w:rsidR="00A03E9B" w:rsidRPr="009448AF">
          <w:rPr>
            <w:rStyle w:val="Hipercze"/>
            <w:rFonts w:ascii="Arial" w:hAnsi="Arial" w:cs="Arial"/>
          </w:rPr>
          <w:t>inwestorzy@celonpharma.com</w:t>
        </w:r>
      </w:hyperlink>
      <w:r w:rsidR="00533E56" w:rsidRPr="00533E56">
        <w:rPr>
          <w:rFonts w:ascii="Arial" w:hAnsi="Arial" w:cs="Arial"/>
          <w:color w:val="000000" w:themeColor="text1"/>
        </w:rPr>
        <w:br/>
        <w:t>+48519066531</w:t>
      </w:r>
    </w:p>
    <w:p w14:paraId="032DB0AE" w14:textId="77777777" w:rsidR="00A96CF5" w:rsidRPr="00533E56" w:rsidRDefault="00A96CF5" w:rsidP="0013027B">
      <w:pPr>
        <w:jc w:val="both"/>
        <w:rPr>
          <w:rFonts w:ascii="Arial" w:hAnsi="Arial" w:cs="Arial"/>
          <w:b/>
          <w:bCs/>
          <w:color w:val="000000"/>
        </w:rPr>
      </w:pPr>
    </w:p>
    <w:p w14:paraId="0D9B057B" w14:textId="77777777" w:rsidR="0013027B" w:rsidRPr="00533E56" w:rsidRDefault="0013027B" w:rsidP="0013027B">
      <w:pPr>
        <w:spacing w:before="60" w:after="60"/>
        <w:jc w:val="both"/>
        <w:rPr>
          <w:rStyle w:val="Pogrubienie"/>
          <w:rFonts w:ascii="Arial" w:hAnsi="Arial" w:cs="Arial"/>
          <w:bCs w:val="0"/>
        </w:rPr>
      </w:pPr>
      <w:r w:rsidRPr="00533E56">
        <w:rPr>
          <w:rStyle w:val="Pogrubienie"/>
          <w:rFonts w:ascii="Arial" w:hAnsi="Arial" w:cs="Arial"/>
        </w:rPr>
        <w:t>ABOUT CELON  PHARMA</w:t>
      </w:r>
    </w:p>
    <w:p w14:paraId="0F2DEFA4" w14:textId="050CA2AE" w:rsidR="0013027B" w:rsidRPr="00533E56" w:rsidRDefault="0013027B" w:rsidP="0013027B">
      <w:pPr>
        <w:spacing w:before="60" w:after="60"/>
        <w:jc w:val="both"/>
        <w:rPr>
          <w:rStyle w:val="Hipercze"/>
          <w:rFonts w:ascii="Arial" w:hAnsi="Arial" w:cs="Arial"/>
        </w:rPr>
      </w:pPr>
      <w:r w:rsidRPr="00533E56">
        <w:rPr>
          <w:rFonts w:ascii="Arial" w:hAnsi="Arial" w:cs="Arial"/>
        </w:rPr>
        <w:t xml:space="preserve">Celon Pharma is an integrated biopharmaceutical company which designs, develops, manufactures and distributes pharmaceutical products. </w:t>
      </w:r>
      <w:r w:rsidRPr="00533E56">
        <w:rPr>
          <w:rFonts w:ascii="Arial" w:hAnsi="Arial" w:cs="Arial"/>
          <w:color w:val="000000"/>
        </w:rPr>
        <w:t xml:space="preserve">It was founded in 2002 by Maciej Wieczorek, PhD. </w:t>
      </w:r>
      <w:r w:rsidRPr="00533E56">
        <w:rPr>
          <w:rFonts w:ascii="Arial" w:hAnsi="Arial" w:cs="Arial"/>
        </w:rPr>
        <w:t xml:space="preserve"> </w:t>
      </w:r>
      <w:r w:rsidRPr="00533E56">
        <w:rPr>
          <w:rFonts w:ascii="Arial" w:hAnsi="Arial" w:cs="Arial"/>
          <w:color w:val="000000"/>
        </w:rPr>
        <w:t xml:space="preserve">The Company currently has approx. </w:t>
      </w:r>
      <w:r w:rsidR="00C239D0" w:rsidRPr="00533E56">
        <w:rPr>
          <w:rFonts w:ascii="Arial" w:hAnsi="Arial" w:cs="Arial"/>
          <w:color w:val="000000"/>
        </w:rPr>
        <w:t>50</w:t>
      </w:r>
      <w:r w:rsidRPr="00533E56">
        <w:rPr>
          <w:rFonts w:ascii="Arial" w:hAnsi="Arial" w:cs="Arial"/>
          <w:color w:val="000000"/>
        </w:rPr>
        <w:t xml:space="preserve">0 employees. It employs approx. 160 scientists responsible for research and development, half of whom either have a PhD or are in the process of acquiring their PhD. The Company's pipeline includes more than a dozen projects for the development of innovative drugs with therapeutic groups such as oncology, neuro-psychiatry, autoimmunity and metabolism. </w:t>
      </w:r>
      <w:r w:rsidRPr="00533E56">
        <w:rPr>
          <w:rFonts w:ascii="Arial" w:hAnsi="Arial" w:cs="Arial"/>
        </w:rPr>
        <w:t xml:space="preserve">The Company has its own research and development laboratories, which allow it to develop its own pharmaceutical technologies by using extensive laboratory equipment resources, as well as the experience and expertise of its staff. It also has a modern manufacturing facility where dry pharmaceutical forms are manufactured. Over the last few years, the Company has introduced products into the market in the following therapeutic areas: oncology, central nervous system diseases, cardiology, respiratory diseases. The Company has been developing the technology for manufacturing inhalation drugs and several projects of innovative drugs since 2007. It has been listed on the Warsaw Stock Exchange since 2016. </w:t>
      </w:r>
      <w:hyperlink r:id="rId7" w:history="1">
        <w:r w:rsidRPr="00533E56">
          <w:rPr>
            <w:rStyle w:val="Hipercze"/>
            <w:rFonts w:ascii="Arial" w:hAnsi="Arial" w:cs="Arial"/>
          </w:rPr>
          <w:t>www.celonpharma.com</w:t>
        </w:r>
      </w:hyperlink>
      <w:r w:rsidRPr="00533E56">
        <w:rPr>
          <w:rFonts w:ascii="Arial" w:hAnsi="Arial" w:cs="Arial"/>
        </w:rPr>
        <w:t xml:space="preserve"> </w:t>
      </w:r>
    </w:p>
    <w:p w14:paraId="704F23A4" w14:textId="77777777" w:rsidR="0013027B" w:rsidRPr="00533E56" w:rsidRDefault="0013027B" w:rsidP="0013027B">
      <w:pPr>
        <w:shd w:val="clear" w:color="auto" w:fill="FFFFFF"/>
        <w:rPr>
          <w:rFonts w:ascii="Arial" w:eastAsia="Times New Roman" w:hAnsi="Arial" w:cs="Arial"/>
          <w:color w:val="000000"/>
          <w:lang w:val="en-GB"/>
        </w:rPr>
      </w:pPr>
    </w:p>
    <w:p w14:paraId="27174C35" w14:textId="77777777" w:rsidR="0013027B" w:rsidRPr="00533E56" w:rsidRDefault="0013027B" w:rsidP="0013027B">
      <w:pPr>
        <w:jc w:val="both"/>
        <w:rPr>
          <w:rFonts w:ascii="Arial" w:hAnsi="Arial" w:cs="Arial"/>
          <w:b/>
          <w:bCs/>
        </w:rPr>
      </w:pPr>
      <w:r w:rsidRPr="00533E56">
        <w:rPr>
          <w:rFonts w:ascii="Arial" w:hAnsi="Arial" w:cs="Arial"/>
          <w:b/>
          <w:bCs/>
        </w:rPr>
        <w:t>Disclaimer</w:t>
      </w:r>
    </w:p>
    <w:p w14:paraId="43D34A05" w14:textId="77777777" w:rsidR="0013027B" w:rsidRPr="00533E56" w:rsidRDefault="0013027B" w:rsidP="0013027B">
      <w:pPr>
        <w:jc w:val="both"/>
        <w:rPr>
          <w:rFonts w:ascii="Arial" w:hAnsi="Arial" w:cs="Arial"/>
        </w:rPr>
      </w:pPr>
      <w:r w:rsidRPr="00533E56">
        <w:rPr>
          <w:rFonts w:ascii="Arial" w:hAnsi="Arial" w:cs="Arial"/>
        </w:rPr>
        <w:t>This press release (“Press release”) has been prepared by Celon Pharma S.A. (the “Company”). By reading the Press release, you agree to be bound by the following limitations.</w:t>
      </w:r>
    </w:p>
    <w:p w14:paraId="1BCB8792" w14:textId="77777777" w:rsidR="0013027B" w:rsidRPr="00533E56" w:rsidRDefault="0013027B" w:rsidP="0013027B">
      <w:pPr>
        <w:jc w:val="both"/>
        <w:rPr>
          <w:rFonts w:ascii="Arial" w:hAnsi="Arial" w:cs="Arial"/>
        </w:rPr>
      </w:pPr>
      <w:r w:rsidRPr="00533E56">
        <w:rPr>
          <w:rFonts w:ascii="Arial" w:hAnsi="Arial" w:cs="Arial"/>
        </w:rPr>
        <w:lastRenderedPageBreak/>
        <w:t>This Press release is strictly confidential to the recipient. Neither this Press release or any part hereof nor the information contained herein may be reproduced or redistributed, passed on, or the contents otherwise divulged, directly or indirectly, to any other person or published, in whole or in part.</w:t>
      </w:r>
    </w:p>
    <w:p w14:paraId="09286C98" w14:textId="77777777" w:rsidR="00AE5E19" w:rsidRPr="00533E56" w:rsidRDefault="00AE5E19" w:rsidP="0013027B">
      <w:pPr>
        <w:jc w:val="both"/>
        <w:rPr>
          <w:rFonts w:ascii="Arial" w:hAnsi="Arial" w:cs="Arial"/>
        </w:rPr>
      </w:pPr>
    </w:p>
    <w:p w14:paraId="6A1CB923" w14:textId="01F4031F" w:rsidR="0013027B" w:rsidRPr="00533E56" w:rsidRDefault="0013027B" w:rsidP="0013027B">
      <w:pPr>
        <w:jc w:val="both"/>
        <w:rPr>
          <w:rFonts w:ascii="Arial" w:hAnsi="Arial" w:cs="Arial"/>
        </w:rPr>
      </w:pPr>
      <w:r w:rsidRPr="00533E56">
        <w:rPr>
          <w:rFonts w:ascii="Arial" w:hAnsi="Arial" w:cs="Arial"/>
        </w:rPr>
        <w:t>If you gain access to this Press release by mistake, or you are not an addressee of this Press release or a person authorized to use this Press release, please bear in mind the confidential nature of this Press release and immediately contact the Company in order to return it to the Company.</w:t>
      </w:r>
    </w:p>
    <w:p w14:paraId="588888DA" w14:textId="77777777" w:rsidR="00AE5E19" w:rsidRPr="00533E56" w:rsidRDefault="00AE5E19" w:rsidP="0013027B">
      <w:pPr>
        <w:jc w:val="both"/>
        <w:rPr>
          <w:rFonts w:ascii="Arial" w:hAnsi="Arial" w:cs="Arial"/>
        </w:rPr>
      </w:pPr>
    </w:p>
    <w:p w14:paraId="6AF77065" w14:textId="77777777" w:rsidR="0013027B" w:rsidRPr="00533E56" w:rsidRDefault="0013027B" w:rsidP="0013027B">
      <w:pPr>
        <w:jc w:val="both"/>
        <w:rPr>
          <w:rFonts w:ascii="Arial" w:hAnsi="Arial" w:cs="Arial"/>
        </w:rPr>
      </w:pPr>
      <w:r w:rsidRPr="00533E56">
        <w:rPr>
          <w:rFonts w:ascii="Arial" w:hAnsi="Arial" w:cs="Arial"/>
        </w:rPr>
        <w:t xml:space="preserve">The Press release does not constitute an offer to sell or subscribe for or a solicitation of an offer to purchase or subscribe for securities. This Press release is provided for informational purposes only. This Press release does not constitute or form part of and should not be construed as an offer, solicitation or invitation to sell or issue, or an offer, solicitation or invitation to, subscribe for, underwrite, buy or otherwise acquire, securities of the Company or any of its subsidiaries in any jurisdiction, or an inducement/recommendation to enter into investment activity in any jurisdiction. Neither this Press release nor any part hereof, nor the fact of its distribution or issuance, shall form the basis of, or be relied on in connection with, any contract, commitment or investment decision whatsoever. </w:t>
      </w:r>
    </w:p>
    <w:p w14:paraId="07B6187E" w14:textId="77777777" w:rsidR="00AE5E19" w:rsidRPr="00533E56" w:rsidRDefault="00AE5E19" w:rsidP="0013027B">
      <w:pPr>
        <w:jc w:val="both"/>
        <w:rPr>
          <w:rFonts w:ascii="Arial" w:hAnsi="Arial" w:cs="Arial"/>
        </w:rPr>
      </w:pPr>
    </w:p>
    <w:p w14:paraId="319FB61F" w14:textId="77777777" w:rsidR="0013027B" w:rsidRPr="00533E56" w:rsidRDefault="0013027B" w:rsidP="0013027B">
      <w:pPr>
        <w:jc w:val="both"/>
        <w:rPr>
          <w:rFonts w:ascii="Arial" w:hAnsi="Arial" w:cs="Arial"/>
        </w:rPr>
      </w:pPr>
      <w:r w:rsidRPr="00533E56">
        <w:rPr>
          <w:rFonts w:ascii="Arial" w:hAnsi="Arial" w:cs="Arial"/>
        </w:rPr>
        <w:t>The information contained herein is only preliminary and indicative and does not purport to contain the information that would be required to evaluate the Company, its financial position and/or any investment decision. This Press release is not intended to provide, and should not be relied upon for, accounting, legal or tax advice nor does it constitute an investment recommendation. This Press release is given in conjunction with an oral press release and should not be taken out of context.</w:t>
      </w:r>
    </w:p>
    <w:p w14:paraId="0AC328E9" w14:textId="77777777" w:rsidR="00AE5E19" w:rsidRPr="00533E56" w:rsidRDefault="00AE5E19" w:rsidP="0013027B">
      <w:pPr>
        <w:jc w:val="both"/>
        <w:rPr>
          <w:rFonts w:ascii="Arial" w:hAnsi="Arial" w:cs="Arial"/>
        </w:rPr>
      </w:pPr>
    </w:p>
    <w:p w14:paraId="571A9E99" w14:textId="77777777" w:rsidR="0013027B" w:rsidRPr="00533E56" w:rsidRDefault="0013027B" w:rsidP="0013027B">
      <w:pPr>
        <w:jc w:val="both"/>
        <w:rPr>
          <w:rFonts w:ascii="Arial" w:hAnsi="Arial" w:cs="Arial"/>
        </w:rPr>
      </w:pPr>
      <w:r w:rsidRPr="00533E56">
        <w:rPr>
          <w:rFonts w:ascii="Arial" w:hAnsi="Arial" w:cs="Arial"/>
        </w:rPr>
        <w:t>No information included in this Press release may be considered as investment advice or investment recommendation. The information contained in the Press release has not been independently verified. No repress release, warranty or undertaking, expressed or implied, is made as to, and no reliance should be placed on, the fairness, accuracy, completeness or correctness of the information or the opinions contained herein.</w:t>
      </w:r>
    </w:p>
    <w:p w14:paraId="33433D88" w14:textId="77777777" w:rsidR="0013027B" w:rsidRPr="00533E56" w:rsidRDefault="0013027B" w:rsidP="0013027B">
      <w:pPr>
        <w:jc w:val="both"/>
        <w:rPr>
          <w:rFonts w:ascii="Arial" w:hAnsi="Arial" w:cs="Arial"/>
        </w:rPr>
      </w:pPr>
      <w:r w:rsidRPr="00533E56">
        <w:rPr>
          <w:rFonts w:ascii="Arial" w:hAnsi="Arial" w:cs="Arial"/>
        </w:rPr>
        <w:t>Matters discussed in this Press release may constitute forward-looking statements. Forward-looking statements constitute statements that are other than statements of historical fact. Statements which include the words “expects”, “intends”, “plans”, “believes”, “projects”, “anticipates”, “will”, “targets”, “aims”, “may”, “would”, “could”, “continue” and similar statements of a future or forward-looking nature identify such forward-looking statements. Forward-looking statements include in particular statements regarding the financial performance, business strategy, plans and objectives of the Company for future operations (including growth potential). All forward-looking statements included in this Press release address matters that involve known and unknown risks, uncertainties and other factors which could cause the Company’s actual results, performance or achievements to differ materially from those indicated in such forward-looking statements and from past results, performance or achievements of the Company. Such forward-looking statements are based upon various assumptions and estimates regarding future events, including numerous assumptions regarding the Company’s present and future business strategies and future operating environment. Although the Company believes that these estimates and assumptions are reasonable, they may prove to be incorrect.</w:t>
      </w:r>
    </w:p>
    <w:p w14:paraId="612BB708" w14:textId="77777777" w:rsidR="00AE5E19" w:rsidRPr="00533E56" w:rsidRDefault="00AE5E19" w:rsidP="0013027B">
      <w:pPr>
        <w:jc w:val="both"/>
        <w:rPr>
          <w:rFonts w:ascii="Arial" w:hAnsi="Arial" w:cs="Arial"/>
        </w:rPr>
      </w:pPr>
    </w:p>
    <w:p w14:paraId="359C5E1A" w14:textId="77777777" w:rsidR="0013027B" w:rsidRPr="00533E56" w:rsidRDefault="0013027B" w:rsidP="0013027B">
      <w:pPr>
        <w:jc w:val="both"/>
        <w:rPr>
          <w:rFonts w:ascii="Arial" w:hAnsi="Arial" w:cs="Arial"/>
        </w:rPr>
      </w:pPr>
      <w:r w:rsidRPr="00533E56">
        <w:rPr>
          <w:rFonts w:ascii="Arial" w:hAnsi="Arial" w:cs="Arial"/>
        </w:rPr>
        <w:t xml:space="preserve">The information, opinions and forward-looking statements contained in this Press release speak only as at the date of this Press release and are subject to change without notice. The Company, its directors, agents, employees and advisors do not intend to, and expressly disclaim any duty, </w:t>
      </w:r>
      <w:r w:rsidRPr="00533E56">
        <w:rPr>
          <w:rFonts w:ascii="Arial" w:hAnsi="Arial" w:cs="Arial"/>
        </w:rPr>
        <w:lastRenderedPageBreak/>
        <w:t>undertaking or obligation to, make or disseminate any supplement, amendment, update or revision to any of the information, opinions or forward-looking statements contained in this Press release to reflect any change in events, conditions or circumstances. To the extent permitted under the applicable provisions of law, neither the Company nor any of their affiliates, advisers or representatives shall have any liability whatsoever (in negligence or otherwise) for any loss however arising from any use of this Press release or its contents or otherwise arising in connection with this Press release.</w:t>
      </w:r>
    </w:p>
    <w:p w14:paraId="6B5DD2E6" w14:textId="77777777" w:rsidR="00AE5E19" w:rsidRPr="00533E56" w:rsidRDefault="00AE5E19" w:rsidP="0013027B">
      <w:pPr>
        <w:jc w:val="both"/>
        <w:rPr>
          <w:rFonts w:ascii="Arial" w:hAnsi="Arial" w:cs="Arial"/>
        </w:rPr>
      </w:pPr>
    </w:p>
    <w:p w14:paraId="4AD2E12A" w14:textId="77777777" w:rsidR="0013027B" w:rsidRPr="00533E56" w:rsidRDefault="0013027B" w:rsidP="0013027B">
      <w:pPr>
        <w:jc w:val="both"/>
        <w:rPr>
          <w:rFonts w:ascii="Arial" w:hAnsi="Arial" w:cs="Arial"/>
        </w:rPr>
      </w:pPr>
      <w:r w:rsidRPr="00533E56">
        <w:rPr>
          <w:rFonts w:ascii="Arial" w:hAnsi="Arial" w:cs="Arial"/>
        </w:rPr>
        <w:t>This Press release is not for distribution or use by any person or entity in any jurisdiction where such distribution or use would be contrary to local law or regulation or which would subject the Company or any of its affiliates to authorization, notification, licensing or other registration requirements under applicable laws. Any failure to comply with this restriction may constitute a violation of United States securities laws. Persons into whose possession this Press release comes should observe all such restrictions.</w:t>
      </w:r>
    </w:p>
    <w:p w14:paraId="1714DA4F" w14:textId="77777777" w:rsidR="0013027B" w:rsidRPr="00533E56" w:rsidRDefault="0013027B" w:rsidP="0013027B">
      <w:pPr>
        <w:jc w:val="both"/>
        <w:rPr>
          <w:rFonts w:ascii="Arial" w:hAnsi="Arial" w:cs="Arial"/>
        </w:rPr>
      </w:pPr>
    </w:p>
    <w:p w14:paraId="1607B835" w14:textId="77777777" w:rsidR="0013027B" w:rsidRPr="00533E56" w:rsidRDefault="0013027B" w:rsidP="0013027B">
      <w:pPr>
        <w:spacing w:before="60" w:after="60"/>
        <w:jc w:val="both"/>
        <w:rPr>
          <w:rFonts w:ascii="Arial" w:hAnsi="Arial" w:cs="Arial"/>
        </w:rPr>
      </w:pPr>
    </w:p>
    <w:p w14:paraId="413282E0" w14:textId="77777777" w:rsidR="0013027B" w:rsidRPr="00AE5E19" w:rsidRDefault="0013027B" w:rsidP="0013027B">
      <w:pPr>
        <w:jc w:val="right"/>
        <w:rPr>
          <w:rStyle w:val="Hipercze"/>
          <w:rFonts w:ascii="Arial" w:hAnsi="Arial" w:cs="Arial"/>
        </w:rPr>
      </w:pPr>
      <w:r w:rsidRPr="00533E56">
        <w:rPr>
          <w:rFonts w:ascii="Arial" w:hAnsi="Arial" w:cs="Arial"/>
          <w:b/>
        </w:rPr>
        <w:t>Obtain more information by contacting:</w:t>
      </w:r>
      <w:r w:rsidRPr="00533E56">
        <w:rPr>
          <w:rFonts w:ascii="Arial" w:hAnsi="Arial" w:cs="Arial"/>
          <w:b/>
        </w:rPr>
        <w:br/>
      </w:r>
      <w:r w:rsidRPr="00533E56">
        <w:rPr>
          <w:rFonts w:ascii="Arial" w:hAnsi="Arial" w:cs="Arial"/>
        </w:rPr>
        <w:t>Małgorzata Siewierska</w:t>
      </w:r>
      <w:r w:rsidRPr="00533E56">
        <w:rPr>
          <w:rFonts w:ascii="Arial" w:hAnsi="Arial" w:cs="Arial"/>
        </w:rPr>
        <w:br/>
      </w:r>
      <w:hyperlink r:id="rId8" w:history="1">
        <w:r w:rsidRPr="00533E56">
          <w:rPr>
            <w:rStyle w:val="Hipercze"/>
            <w:rFonts w:ascii="Arial" w:hAnsi="Arial" w:cs="Arial"/>
          </w:rPr>
          <w:t>media@celonpharma.com</w:t>
        </w:r>
      </w:hyperlink>
    </w:p>
    <w:p w14:paraId="49D39900" w14:textId="77777777" w:rsidR="0013027B" w:rsidRPr="00AE5E19" w:rsidRDefault="0013027B" w:rsidP="0013027B">
      <w:pPr>
        <w:jc w:val="both"/>
        <w:rPr>
          <w:rFonts w:ascii="Arial" w:hAnsi="Arial" w:cs="Arial"/>
        </w:rPr>
      </w:pPr>
    </w:p>
    <w:p w14:paraId="55A175BB" w14:textId="77777777" w:rsidR="0013027B" w:rsidRPr="0013027B" w:rsidRDefault="0013027B" w:rsidP="0013027B">
      <w:pPr>
        <w:shd w:val="clear" w:color="auto" w:fill="FFFFFF"/>
        <w:rPr>
          <w:rFonts w:ascii="Arial" w:eastAsia="Times New Roman" w:hAnsi="Arial" w:cs="Arial"/>
          <w:color w:val="000000"/>
          <w:sz w:val="14"/>
          <w:szCs w:val="14"/>
        </w:rPr>
      </w:pPr>
    </w:p>
    <w:p w14:paraId="2E2E73E1" w14:textId="77777777" w:rsidR="0013027B" w:rsidRPr="00756174" w:rsidRDefault="0013027B" w:rsidP="0013027B">
      <w:pPr>
        <w:shd w:val="clear" w:color="auto" w:fill="FFFFFF"/>
        <w:rPr>
          <w:rFonts w:eastAsia="Times New Roman"/>
          <w:color w:val="000000"/>
          <w:sz w:val="16"/>
          <w:szCs w:val="16"/>
        </w:rPr>
      </w:pPr>
    </w:p>
    <w:p w14:paraId="47205CA0" w14:textId="77777777" w:rsidR="0013027B" w:rsidRPr="00756174" w:rsidRDefault="0013027B" w:rsidP="0013027B">
      <w:pPr>
        <w:shd w:val="clear" w:color="auto" w:fill="FFFFFF"/>
        <w:rPr>
          <w:rFonts w:ascii="Times New Roman" w:eastAsia="Times New Roman" w:hAnsi="Times New Roman" w:cs="Times New Roman"/>
          <w:color w:val="000000"/>
          <w:sz w:val="16"/>
          <w:szCs w:val="16"/>
        </w:rPr>
      </w:pPr>
    </w:p>
    <w:p w14:paraId="3F8E3074" w14:textId="77777777" w:rsidR="0013027B" w:rsidRPr="00756174" w:rsidRDefault="0013027B" w:rsidP="0013027B">
      <w:pPr>
        <w:rPr>
          <w:sz w:val="16"/>
          <w:szCs w:val="16"/>
        </w:rPr>
      </w:pPr>
    </w:p>
    <w:p w14:paraId="28C13668" w14:textId="77777777" w:rsidR="00D975A9" w:rsidRPr="00D9141B" w:rsidRDefault="00D975A9" w:rsidP="0013027B">
      <w:pPr>
        <w:jc w:val="both"/>
        <w:rPr>
          <w:rFonts w:ascii="Arial" w:hAnsi="Arial" w:cs="Arial"/>
          <w:sz w:val="24"/>
          <w:szCs w:val="24"/>
        </w:rPr>
      </w:pPr>
    </w:p>
    <w:sectPr w:rsidR="00D975A9" w:rsidRPr="00D914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E158BD"/>
    <w:multiLevelType w:val="hybridMultilevel"/>
    <w:tmpl w:val="11B24002"/>
    <w:lvl w:ilvl="0" w:tplc="0BB0AE2E">
      <w:start w:val="1"/>
      <w:numFmt w:val="bullet"/>
      <w:lvlText w:val=""/>
      <w:lvlJc w:val="left"/>
      <w:pPr>
        <w:tabs>
          <w:tab w:val="num" w:pos="720"/>
        </w:tabs>
        <w:ind w:left="720" w:hanging="360"/>
      </w:pPr>
      <w:rPr>
        <w:rFonts w:ascii="Wingdings" w:hAnsi="Wingdings" w:hint="default"/>
      </w:rPr>
    </w:lvl>
    <w:lvl w:ilvl="1" w:tplc="9700569A" w:tentative="1">
      <w:start w:val="1"/>
      <w:numFmt w:val="bullet"/>
      <w:lvlText w:val=""/>
      <w:lvlJc w:val="left"/>
      <w:pPr>
        <w:tabs>
          <w:tab w:val="num" w:pos="1440"/>
        </w:tabs>
        <w:ind w:left="1440" w:hanging="360"/>
      </w:pPr>
      <w:rPr>
        <w:rFonts w:ascii="Wingdings" w:hAnsi="Wingdings" w:hint="default"/>
      </w:rPr>
    </w:lvl>
    <w:lvl w:ilvl="2" w:tplc="D17E6ED6" w:tentative="1">
      <w:start w:val="1"/>
      <w:numFmt w:val="bullet"/>
      <w:lvlText w:val=""/>
      <w:lvlJc w:val="left"/>
      <w:pPr>
        <w:tabs>
          <w:tab w:val="num" w:pos="2160"/>
        </w:tabs>
        <w:ind w:left="2160" w:hanging="360"/>
      </w:pPr>
      <w:rPr>
        <w:rFonts w:ascii="Wingdings" w:hAnsi="Wingdings" w:hint="default"/>
      </w:rPr>
    </w:lvl>
    <w:lvl w:ilvl="3" w:tplc="95D82F10" w:tentative="1">
      <w:start w:val="1"/>
      <w:numFmt w:val="bullet"/>
      <w:lvlText w:val=""/>
      <w:lvlJc w:val="left"/>
      <w:pPr>
        <w:tabs>
          <w:tab w:val="num" w:pos="2880"/>
        </w:tabs>
        <w:ind w:left="2880" w:hanging="360"/>
      </w:pPr>
      <w:rPr>
        <w:rFonts w:ascii="Wingdings" w:hAnsi="Wingdings" w:hint="default"/>
      </w:rPr>
    </w:lvl>
    <w:lvl w:ilvl="4" w:tplc="FD0C4D6C" w:tentative="1">
      <w:start w:val="1"/>
      <w:numFmt w:val="bullet"/>
      <w:lvlText w:val=""/>
      <w:lvlJc w:val="left"/>
      <w:pPr>
        <w:tabs>
          <w:tab w:val="num" w:pos="3600"/>
        </w:tabs>
        <w:ind w:left="3600" w:hanging="360"/>
      </w:pPr>
      <w:rPr>
        <w:rFonts w:ascii="Wingdings" w:hAnsi="Wingdings" w:hint="default"/>
      </w:rPr>
    </w:lvl>
    <w:lvl w:ilvl="5" w:tplc="BCB04A6C" w:tentative="1">
      <w:start w:val="1"/>
      <w:numFmt w:val="bullet"/>
      <w:lvlText w:val=""/>
      <w:lvlJc w:val="left"/>
      <w:pPr>
        <w:tabs>
          <w:tab w:val="num" w:pos="4320"/>
        </w:tabs>
        <w:ind w:left="4320" w:hanging="360"/>
      </w:pPr>
      <w:rPr>
        <w:rFonts w:ascii="Wingdings" w:hAnsi="Wingdings" w:hint="default"/>
      </w:rPr>
    </w:lvl>
    <w:lvl w:ilvl="6" w:tplc="6780F540" w:tentative="1">
      <w:start w:val="1"/>
      <w:numFmt w:val="bullet"/>
      <w:lvlText w:val=""/>
      <w:lvlJc w:val="left"/>
      <w:pPr>
        <w:tabs>
          <w:tab w:val="num" w:pos="5040"/>
        </w:tabs>
        <w:ind w:left="5040" w:hanging="360"/>
      </w:pPr>
      <w:rPr>
        <w:rFonts w:ascii="Wingdings" w:hAnsi="Wingdings" w:hint="default"/>
      </w:rPr>
    </w:lvl>
    <w:lvl w:ilvl="7" w:tplc="48927250" w:tentative="1">
      <w:start w:val="1"/>
      <w:numFmt w:val="bullet"/>
      <w:lvlText w:val=""/>
      <w:lvlJc w:val="left"/>
      <w:pPr>
        <w:tabs>
          <w:tab w:val="num" w:pos="5760"/>
        </w:tabs>
        <w:ind w:left="5760" w:hanging="360"/>
      </w:pPr>
      <w:rPr>
        <w:rFonts w:ascii="Wingdings" w:hAnsi="Wingdings" w:hint="default"/>
      </w:rPr>
    </w:lvl>
    <w:lvl w:ilvl="8" w:tplc="C2D8815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69A3569"/>
    <w:multiLevelType w:val="hybridMultilevel"/>
    <w:tmpl w:val="90547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39271723">
    <w:abstractNumId w:val="0"/>
  </w:num>
  <w:num w:numId="2" w16cid:durableId="1612014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0C1"/>
    <w:rsid w:val="00002D48"/>
    <w:rsid w:val="000252C4"/>
    <w:rsid w:val="00031525"/>
    <w:rsid w:val="00045E65"/>
    <w:rsid w:val="00076E93"/>
    <w:rsid w:val="000B0368"/>
    <w:rsid w:val="000B7656"/>
    <w:rsid w:val="000D37C2"/>
    <w:rsid w:val="000D7650"/>
    <w:rsid w:val="000F0205"/>
    <w:rsid w:val="0011433E"/>
    <w:rsid w:val="0013027B"/>
    <w:rsid w:val="00135E9C"/>
    <w:rsid w:val="0018505F"/>
    <w:rsid w:val="001D5CD4"/>
    <w:rsid w:val="0021114E"/>
    <w:rsid w:val="00227F3C"/>
    <w:rsid w:val="00244B21"/>
    <w:rsid w:val="00250C87"/>
    <w:rsid w:val="00254B68"/>
    <w:rsid w:val="00261662"/>
    <w:rsid w:val="00270EEB"/>
    <w:rsid w:val="002751D3"/>
    <w:rsid w:val="00286E33"/>
    <w:rsid w:val="002A6960"/>
    <w:rsid w:val="002C54B3"/>
    <w:rsid w:val="0031339C"/>
    <w:rsid w:val="00321926"/>
    <w:rsid w:val="0033376E"/>
    <w:rsid w:val="00346B7F"/>
    <w:rsid w:val="0035343B"/>
    <w:rsid w:val="003645B3"/>
    <w:rsid w:val="00393B7B"/>
    <w:rsid w:val="0039511E"/>
    <w:rsid w:val="00397D7D"/>
    <w:rsid w:val="003A3C7C"/>
    <w:rsid w:val="003A55FE"/>
    <w:rsid w:val="003D736E"/>
    <w:rsid w:val="004100C1"/>
    <w:rsid w:val="00423C0A"/>
    <w:rsid w:val="0043255F"/>
    <w:rsid w:val="00450280"/>
    <w:rsid w:val="004D10B8"/>
    <w:rsid w:val="004F4BF3"/>
    <w:rsid w:val="004F79F9"/>
    <w:rsid w:val="005125E3"/>
    <w:rsid w:val="005333C4"/>
    <w:rsid w:val="00533E56"/>
    <w:rsid w:val="00534631"/>
    <w:rsid w:val="005520F7"/>
    <w:rsid w:val="00593EC3"/>
    <w:rsid w:val="0059695E"/>
    <w:rsid w:val="00596E3A"/>
    <w:rsid w:val="005A2BEA"/>
    <w:rsid w:val="005B4829"/>
    <w:rsid w:val="005D71DB"/>
    <w:rsid w:val="005F4375"/>
    <w:rsid w:val="00606216"/>
    <w:rsid w:val="006519F3"/>
    <w:rsid w:val="006838A6"/>
    <w:rsid w:val="006B1734"/>
    <w:rsid w:val="006B1876"/>
    <w:rsid w:val="006C2D78"/>
    <w:rsid w:val="006D66D4"/>
    <w:rsid w:val="006D74DE"/>
    <w:rsid w:val="007030AA"/>
    <w:rsid w:val="00733085"/>
    <w:rsid w:val="007613AC"/>
    <w:rsid w:val="00783185"/>
    <w:rsid w:val="008821F3"/>
    <w:rsid w:val="00892854"/>
    <w:rsid w:val="008A305B"/>
    <w:rsid w:val="008E3343"/>
    <w:rsid w:val="008E55F1"/>
    <w:rsid w:val="008E6984"/>
    <w:rsid w:val="008F4C60"/>
    <w:rsid w:val="00903BCA"/>
    <w:rsid w:val="00915BAD"/>
    <w:rsid w:val="00925290"/>
    <w:rsid w:val="00925CE6"/>
    <w:rsid w:val="009308EC"/>
    <w:rsid w:val="009345B1"/>
    <w:rsid w:val="009562AD"/>
    <w:rsid w:val="00964F7C"/>
    <w:rsid w:val="00970CEF"/>
    <w:rsid w:val="009F70CF"/>
    <w:rsid w:val="009F766E"/>
    <w:rsid w:val="00A03E9B"/>
    <w:rsid w:val="00A3051B"/>
    <w:rsid w:val="00A552A3"/>
    <w:rsid w:val="00A74AC4"/>
    <w:rsid w:val="00A96244"/>
    <w:rsid w:val="00A96CF5"/>
    <w:rsid w:val="00AA113C"/>
    <w:rsid w:val="00AC1548"/>
    <w:rsid w:val="00AE5E19"/>
    <w:rsid w:val="00AF34C8"/>
    <w:rsid w:val="00AF61EC"/>
    <w:rsid w:val="00B0104A"/>
    <w:rsid w:val="00B11895"/>
    <w:rsid w:val="00B23399"/>
    <w:rsid w:val="00B34801"/>
    <w:rsid w:val="00B427A8"/>
    <w:rsid w:val="00B60687"/>
    <w:rsid w:val="00BA2E76"/>
    <w:rsid w:val="00BB5E6C"/>
    <w:rsid w:val="00BE306C"/>
    <w:rsid w:val="00C239D0"/>
    <w:rsid w:val="00C44CEA"/>
    <w:rsid w:val="00C539BD"/>
    <w:rsid w:val="00C62DD3"/>
    <w:rsid w:val="00C76825"/>
    <w:rsid w:val="00CB47D0"/>
    <w:rsid w:val="00CD0629"/>
    <w:rsid w:val="00D10F6D"/>
    <w:rsid w:val="00D170F3"/>
    <w:rsid w:val="00D30AA0"/>
    <w:rsid w:val="00D618BE"/>
    <w:rsid w:val="00D74060"/>
    <w:rsid w:val="00D7680A"/>
    <w:rsid w:val="00D9141B"/>
    <w:rsid w:val="00D975A9"/>
    <w:rsid w:val="00DD3C39"/>
    <w:rsid w:val="00DE11A7"/>
    <w:rsid w:val="00DF58E6"/>
    <w:rsid w:val="00E1087A"/>
    <w:rsid w:val="00E34115"/>
    <w:rsid w:val="00E57571"/>
    <w:rsid w:val="00E63AB3"/>
    <w:rsid w:val="00E97884"/>
    <w:rsid w:val="00EC4157"/>
    <w:rsid w:val="00EE6B89"/>
    <w:rsid w:val="00EE7BC8"/>
    <w:rsid w:val="00EF02AE"/>
    <w:rsid w:val="00F14B70"/>
    <w:rsid w:val="00F55A2F"/>
    <w:rsid w:val="00F678EB"/>
    <w:rsid w:val="00F86CCB"/>
    <w:rsid w:val="00FC1141"/>
    <w:rsid w:val="00FF2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A0FDB"/>
  <w15:chartTrackingRefBased/>
  <w15:docId w15:val="{8758BDE0-72A9-42C1-850A-EDFF1FE6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39D0"/>
    <w:pPr>
      <w:spacing w:after="0" w:line="240" w:lineRule="auto"/>
    </w:pPr>
    <w:rPr>
      <w:rFonts w:ascii="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6B1876"/>
    <w:rPr>
      <w:sz w:val="16"/>
      <w:szCs w:val="16"/>
    </w:rPr>
  </w:style>
  <w:style w:type="paragraph" w:styleId="Tekstkomentarza">
    <w:name w:val="annotation text"/>
    <w:basedOn w:val="Normalny"/>
    <w:link w:val="TekstkomentarzaZnak"/>
    <w:uiPriority w:val="99"/>
    <w:unhideWhenUsed/>
    <w:rsid w:val="006B1876"/>
    <w:rPr>
      <w:sz w:val="20"/>
      <w:szCs w:val="20"/>
    </w:rPr>
  </w:style>
  <w:style w:type="character" w:customStyle="1" w:styleId="TekstkomentarzaZnak">
    <w:name w:val="Tekst komentarza Znak"/>
    <w:basedOn w:val="Domylnaczcionkaakapitu"/>
    <w:link w:val="Tekstkomentarza"/>
    <w:uiPriority w:val="99"/>
    <w:rsid w:val="006B1876"/>
    <w:rPr>
      <w:rFonts w:ascii="Calibri" w:hAnsi="Calibri" w:cs="Calibri"/>
      <w:sz w:val="20"/>
      <w:szCs w:val="20"/>
    </w:rPr>
  </w:style>
  <w:style w:type="paragraph" w:styleId="Tematkomentarza">
    <w:name w:val="annotation subject"/>
    <w:basedOn w:val="Tekstkomentarza"/>
    <w:next w:val="Tekstkomentarza"/>
    <w:link w:val="TematkomentarzaZnak"/>
    <w:uiPriority w:val="99"/>
    <w:semiHidden/>
    <w:unhideWhenUsed/>
    <w:rsid w:val="006B1876"/>
    <w:rPr>
      <w:b/>
      <w:bCs/>
    </w:rPr>
  </w:style>
  <w:style w:type="character" w:customStyle="1" w:styleId="TematkomentarzaZnak">
    <w:name w:val="Temat komentarza Znak"/>
    <w:basedOn w:val="TekstkomentarzaZnak"/>
    <w:link w:val="Tematkomentarza"/>
    <w:uiPriority w:val="99"/>
    <w:semiHidden/>
    <w:rsid w:val="006B1876"/>
    <w:rPr>
      <w:rFonts w:ascii="Calibri" w:hAnsi="Calibri" w:cs="Calibri"/>
      <w:b/>
      <w:bCs/>
      <w:sz w:val="20"/>
      <w:szCs w:val="20"/>
    </w:rPr>
  </w:style>
  <w:style w:type="paragraph" w:styleId="Tekstdymka">
    <w:name w:val="Balloon Text"/>
    <w:basedOn w:val="Normalny"/>
    <w:link w:val="TekstdymkaZnak"/>
    <w:uiPriority w:val="99"/>
    <w:semiHidden/>
    <w:unhideWhenUsed/>
    <w:rsid w:val="00D975A9"/>
    <w:rPr>
      <w:rFonts w:ascii="Segoe UI" w:hAnsi="Segoe UI" w:cs="Segoe UI"/>
      <w:sz w:val="18"/>
      <w:szCs w:val="18"/>
    </w:rPr>
  </w:style>
  <w:style w:type="character" w:customStyle="1" w:styleId="TekstdymkaZnak">
    <w:name w:val="Tekst dymka Znak"/>
    <w:basedOn w:val="Domylnaczcionkaakapitu"/>
    <w:link w:val="Tekstdymka"/>
    <w:uiPriority w:val="99"/>
    <w:semiHidden/>
    <w:rsid w:val="00D975A9"/>
    <w:rPr>
      <w:rFonts w:ascii="Segoe UI" w:hAnsi="Segoe UI" w:cs="Segoe UI"/>
      <w:sz w:val="18"/>
      <w:szCs w:val="18"/>
    </w:rPr>
  </w:style>
  <w:style w:type="character" w:styleId="Hipercze">
    <w:name w:val="Hyperlink"/>
    <w:basedOn w:val="Domylnaczcionkaakapitu"/>
    <w:uiPriority w:val="99"/>
    <w:unhideWhenUsed/>
    <w:rsid w:val="008A305B"/>
    <w:rPr>
      <w:color w:val="0563C1" w:themeColor="hyperlink"/>
      <w:u w:val="single"/>
    </w:rPr>
  </w:style>
  <w:style w:type="character" w:styleId="Nierozpoznanawzmianka">
    <w:name w:val="Unresolved Mention"/>
    <w:basedOn w:val="Domylnaczcionkaakapitu"/>
    <w:uiPriority w:val="99"/>
    <w:semiHidden/>
    <w:unhideWhenUsed/>
    <w:rsid w:val="008A305B"/>
    <w:rPr>
      <w:color w:val="605E5C"/>
      <w:shd w:val="clear" w:color="auto" w:fill="E1DFDD"/>
    </w:rPr>
  </w:style>
  <w:style w:type="character" w:styleId="UyteHipercze">
    <w:name w:val="FollowedHyperlink"/>
    <w:basedOn w:val="Domylnaczcionkaakapitu"/>
    <w:uiPriority w:val="99"/>
    <w:semiHidden/>
    <w:unhideWhenUsed/>
    <w:rsid w:val="004D10B8"/>
    <w:rPr>
      <w:color w:val="954F72" w:themeColor="followedHyperlink"/>
      <w:u w:val="single"/>
    </w:rPr>
  </w:style>
  <w:style w:type="character" w:styleId="Pogrubienie">
    <w:name w:val="Strong"/>
    <w:uiPriority w:val="22"/>
    <w:qFormat/>
    <w:rsid w:val="0013027B"/>
    <w:rPr>
      <w:b/>
      <w:bCs/>
      <w:lang w:val="en-GB" w:eastAsia="en-GB"/>
    </w:rPr>
  </w:style>
  <w:style w:type="paragraph" w:customStyle="1" w:styleId="v1msonormal">
    <w:name w:val="v1msonormal"/>
    <w:basedOn w:val="Normalny"/>
    <w:rsid w:val="00C239D0"/>
    <w:pPr>
      <w:spacing w:before="100" w:beforeAutospacing="1" w:after="100" w:afterAutospacing="1"/>
    </w:pPr>
    <w:rPr>
      <w:rFonts w:ascii="Times New Roman" w:eastAsia="Times New Roman" w:hAnsi="Times New Roman" w:cs="Times New Roman"/>
      <w:sz w:val="24"/>
      <w:szCs w:val="24"/>
      <w:lang w:val="en-GB" w:eastAsia="pl-PL"/>
    </w:rPr>
  </w:style>
  <w:style w:type="paragraph" w:styleId="Akapitzlist">
    <w:name w:val="List Paragraph"/>
    <w:basedOn w:val="Normalny"/>
    <w:uiPriority w:val="34"/>
    <w:qFormat/>
    <w:rsid w:val="003A55FE"/>
    <w:pPr>
      <w:ind w:left="720"/>
      <w:contextualSpacing/>
    </w:pPr>
    <w:rPr>
      <w:rFonts w:ascii="Times New Roman" w:eastAsia="Times New Roman" w:hAnsi="Times New Roman" w:cs="Times New Roman"/>
      <w:sz w:val="24"/>
      <w:szCs w:val="24"/>
      <w:lang w:eastAsia="zh-CN"/>
    </w:rPr>
  </w:style>
  <w:style w:type="character" w:customStyle="1" w:styleId="me-email-text">
    <w:name w:val="me-email-text"/>
    <w:basedOn w:val="Domylnaczcionkaakapitu"/>
    <w:rsid w:val="00915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349026">
      <w:bodyDiv w:val="1"/>
      <w:marLeft w:val="0"/>
      <w:marRight w:val="0"/>
      <w:marTop w:val="0"/>
      <w:marBottom w:val="0"/>
      <w:divBdr>
        <w:top w:val="none" w:sz="0" w:space="0" w:color="auto"/>
        <w:left w:val="none" w:sz="0" w:space="0" w:color="auto"/>
        <w:bottom w:val="none" w:sz="0" w:space="0" w:color="auto"/>
        <w:right w:val="none" w:sz="0" w:space="0" w:color="auto"/>
      </w:divBdr>
    </w:div>
    <w:div w:id="502352861">
      <w:bodyDiv w:val="1"/>
      <w:marLeft w:val="0"/>
      <w:marRight w:val="0"/>
      <w:marTop w:val="0"/>
      <w:marBottom w:val="0"/>
      <w:divBdr>
        <w:top w:val="none" w:sz="0" w:space="0" w:color="auto"/>
        <w:left w:val="none" w:sz="0" w:space="0" w:color="auto"/>
        <w:bottom w:val="none" w:sz="0" w:space="0" w:color="auto"/>
        <w:right w:val="none" w:sz="0" w:space="0" w:color="auto"/>
      </w:divBdr>
    </w:div>
    <w:div w:id="696585475">
      <w:bodyDiv w:val="1"/>
      <w:marLeft w:val="0"/>
      <w:marRight w:val="0"/>
      <w:marTop w:val="0"/>
      <w:marBottom w:val="0"/>
      <w:divBdr>
        <w:top w:val="none" w:sz="0" w:space="0" w:color="auto"/>
        <w:left w:val="none" w:sz="0" w:space="0" w:color="auto"/>
        <w:bottom w:val="none" w:sz="0" w:space="0" w:color="auto"/>
        <w:right w:val="none" w:sz="0" w:space="0" w:color="auto"/>
      </w:divBdr>
    </w:div>
    <w:div w:id="905645044">
      <w:bodyDiv w:val="1"/>
      <w:marLeft w:val="0"/>
      <w:marRight w:val="0"/>
      <w:marTop w:val="0"/>
      <w:marBottom w:val="0"/>
      <w:divBdr>
        <w:top w:val="none" w:sz="0" w:space="0" w:color="auto"/>
        <w:left w:val="none" w:sz="0" w:space="0" w:color="auto"/>
        <w:bottom w:val="none" w:sz="0" w:space="0" w:color="auto"/>
        <w:right w:val="none" w:sz="0" w:space="0" w:color="auto"/>
      </w:divBdr>
    </w:div>
    <w:div w:id="1028523908">
      <w:bodyDiv w:val="1"/>
      <w:marLeft w:val="0"/>
      <w:marRight w:val="0"/>
      <w:marTop w:val="0"/>
      <w:marBottom w:val="0"/>
      <w:divBdr>
        <w:top w:val="none" w:sz="0" w:space="0" w:color="auto"/>
        <w:left w:val="none" w:sz="0" w:space="0" w:color="auto"/>
        <w:bottom w:val="none" w:sz="0" w:space="0" w:color="auto"/>
        <w:right w:val="none" w:sz="0" w:space="0" w:color="auto"/>
      </w:divBdr>
      <w:divsChild>
        <w:div w:id="842475895">
          <w:marLeft w:val="547"/>
          <w:marRight w:val="0"/>
          <w:marTop w:val="0"/>
          <w:marBottom w:val="160"/>
          <w:divBdr>
            <w:top w:val="none" w:sz="0" w:space="0" w:color="auto"/>
            <w:left w:val="none" w:sz="0" w:space="0" w:color="auto"/>
            <w:bottom w:val="none" w:sz="0" w:space="0" w:color="auto"/>
            <w:right w:val="none" w:sz="0" w:space="0" w:color="auto"/>
          </w:divBdr>
        </w:div>
      </w:divsChild>
    </w:div>
    <w:div w:id="183456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celonpharma.com" TargetMode="External"/><Relationship Id="rId3" Type="http://schemas.openxmlformats.org/officeDocument/2006/relationships/settings" Target="settings.xml"/><Relationship Id="rId7" Type="http://schemas.openxmlformats.org/officeDocument/2006/relationships/hyperlink" Target="http://www.celonpharm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westorzy@celonpharma.com" TargetMode="External"/><Relationship Id="rId5" Type="http://schemas.openxmlformats.org/officeDocument/2006/relationships/hyperlink" Target="https://teams.microsoft.com/l/meetup-join/19%3ameeting_NTA4ZDg0NzEtYjU2ZS00N2NjLWI4MjAtYzAwMzQxMDBhNDlj%40thread.v2/0?context=%7b%22Tid%22%3a%22dc816c94-0313-4f34-8ed1-1bff167d7003%22%2c%22Oid%22%3a%22640e4061-4b30-4b4f-ab73-ea6aee635b80%22%7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1704</Words>
  <Characters>10226</Characters>
  <Application>Microsoft Office Word</Application>
  <DocSecurity>0</DocSecurity>
  <Lines>85</Lines>
  <Paragraphs>23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Koffler</dc:creator>
  <cp:keywords/>
  <dc:description/>
  <cp:lastModifiedBy>Małgorzata Siewierska</cp:lastModifiedBy>
  <cp:revision>8</cp:revision>
  <dcterms:created xsi:type="dcterms:W3CDTF">2024-07-09T08:29:00Z</dcterms:created>
  <dcterms:modified xsi:type="dcterms:W3CDTF">2024-07-09T10:07:00Z</dcterms:modified>
</cp:coreProperties>
</file>